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2275"/>
        <w:gridCol w:w="6570"/>
      </w:tblGrid>
      <w:tr w:rsidR="001959AB" w:rsidRPr="00747474" w14:paraId="1EA76258" w14:textId="77777777" w:rsidTr="00B83520">
        <w:trPr>
          <w:trHeight w:val="557"/>
          <w:tblHeader/>
        </w:trPr>
        <w:tc>
          <w:tcPr>
            <w:tcW w:w="492" w:type="dxa"/>
            <w:vAlign w:val="center"/>
          </w:tcPr>
          <w:p w14:paraId="4FCC9B98" w14:textId="77777777" w:rsidR="001959AB" w:rsidRPr="00747474" w:rsidRDefault="001959AB" w:rsidP="00B83520">
            <w:pPr>
              <w:jc w:val="center"/>
              <w:rPr>
                <w:rFonts w:asciiTheme="majorBidi" w:hAnsiTheme="majorBidi" w:cstheme="majorBidi"/>
                <w:b/>
                <w:sz w:val="22"/>
                <w:szCs w:val="22"/>
              </w:rPr>
            </w:pPr>
          </w:p>
        </w:tc>
        <w:tc>
          <w:tcPr>
            <w:tcW w:w="8845" w:type="dxa"/>
            <w:gridSpan w:val="2"/>
            <w:vAlign w:val="center"/>
          </w:tcPr>
          <w:p w14:paraId="777A01E3" w14:textId="518FC2C9" w:rsidR="001959AB" w:rsidRPr="00747474" w:rsidRDefault="001959AB" w:rsidP="00B83520">
            <w:pPr>
              <w:jc w:val="center"/>
              <w:rPr>
                <w:rFonts w:asciiTheme="majorBidi" w:hAnsiTheme="majorBidi" w:cstheme="majorBidi"/>
                <w:b/>
                <w:sz w:val="22"/>
                <w:szCs w:val="22"/>
              </w:rPr>
            </w:pPr>
            <w:r w:rsidRPr="00747474">
              <w:rPr>
                <w:rFonts w:asciiTheme="majorBidi" w:hAnsiTheme="majorBidi" w:cstheme="majorBidi"/>
                <w:b/>
                <w:sz w:val="22"/>
                <w:szCs w:val="22"/>
              </w:rPr>
              <w:t>PMEX</w:t>
            </w:r>
            <w:r>
              <w:rPr>
                <w:rFonts w:asciiTheme="majorBidi" w:hAnsiTheme="majorBidi" w:cstheme="majorBidi"/>
                <w:b/>
                <w:sz w:val="22"/>
                <w:szCs w:val="22"/>
              </w:rPr>
              <w:t xml:space="preserve"> </w:t>
            </w:r>
            <w:r w:rsidR="00A85807" w:rsidRPr="00A85807">
              <w:rPr>
                <w:rFonts w:asciiTheme="majorBidi" w:hAnsiTheme="majorBidi" w:cstheme="majorBidi"/>
                <w:b/>
                <w:sz w:val="22"/>
                <w:szCs w:val="22"/>
              </w:rPr>
              <w:t>KAINAT-1121 Basmati Parboiled Raw Rice</w:t>
            </w:r>
            <w:r w:rsidR="00077752">
              <w:rPr>
                <w:rFonts w:asciiTheme="majorBidi" w:hAnsiTheme="majorBidi" w:cstheme="majorBidi"/>
                <w:b/>
                <w:sz w:val="22"/>
                <w:szCs w:val="22"/>
              </w:rPr>
              <w:t xml:space="preserve"> (</w:t>
            </w:r>
            <w:r w:rsidR="00077752" w:rsidRPr="00077752">
              <w:rPr>
                <w:rFonts w:asciiTheme="majorBidi" w:hAnsiTheme="majorBidi" w:cstheme="majorBidi"/>
                <w:b/>
                <w:sz w:val="22"/>
                <w:szCs w:val="22"/>
              </w:rPr>
              <w:t>Grade</w:t>
            </w:r>
            <w:r w:rsidR="00077752">
              <w:rPr>
                <w:rFonts w:asciiTheme="majorBidi" w:hAnsiTheme="majorBidi" w:cstheme="majorBidi"/>
                <w:b/>
                <w:sz w:val="22"/>
                <w:szCs w:val="22"/>
              </w:rPr>
              <w:t xml:space="preserve"> </w:t>
            </w:r>
            <w:r w:rsidR="00A85807">
              <w:rPr>
                <w:rFonts w:asciiTheme="majorBidi" w:hAnsiTheme="majorBidi" w:cstheme="majorBidi"/>
                <w:b/>
                <w:sz w:val="22"/>
                <w:szCs w:val="22"/>
              </w:rPr>
              <w:t>A</w:t>
            </w:r>
            <w:r w:rsidR="007178FA">
              <w:rPr>
                <w:rFonts w:asciiTheme="majorBidi" w:hAnsiTheme="majorBidi" w:cstheme="majorBidi"/>
                <w:b/>
                <w:sz w:val="22"/>
                <w:szCs w:val="22"/>
              </w:rPr>
              <w:t xml:space="preserve"> Plus</w:t>
            </w:r>
            <w:r w:rsidR="00077752">
              <w:rPr>
                <w:rFonts w:asciiTheme="majorBidi" w:hAnsiTheme="majorBidi" w:cstheme="majorBidi"/>
                <w:b/>
                <w:sz w:val="22"/>
                <w:szCs w:val="22"/>
              </w:rPr>
              <w:t xml:space="preserve">) </w:t>
            </w:r>
            <w:r w:rsidRPr="00747474">
              <w:rPr>
                <w:rFonts w:asciiTheme="majorBidi" w:hAnsiTheme="majorBidi" w:cstheme="majorBidi"/>
                <w:b/>
                <w:sz w:val="22"/>
                <w:szCs w:val="22"/>
              </w:rPr>
              <w:t xml:space="preserve">Futures Contract Specifications </w:t>
            </w:r>
          </w:p>
        </w:tc>
      </w:tr>
      <w:tr w:rsidR="001959AB" w:rsidRPr="00747474" w14:paraId="60DC09BE" w14:textId="77777777" w:rsidTr="00B83520">
        <w:trPr>
          <w:trHeight w:val="1403"/>
        </w:trPr>
        <w:tc>
          <w:tcPr>
            <w:tcW w:w="492" w:type="dxa"/>
            <w:vAlign w:val="center"/>
          </w:tcPr>
          <w:p w14:paraId="16748DA2" w14:textId="77777777" w:rsidR="001959AB" w:rsidRPr="00747474" w:rsidRDefault="001959AB" w:rsidP="00B83520">
            <w:pPr>
              <w:jc w:val="center"/>
              <w:rPr>
                <w:rFonts w:asciiTheme="majorBidi" w:hAnsiTheme="majorBidi" w:cstheme="majorBidi"/>
                <w:sz w:val="22"/>
                <w:szCs w:val="22"/>
              </w:rPr>
            </w:pPr>
            <w:r w:rsidRPr="00747474">
              <w:rPr>
                <w:rFonts w:asciiTheme="majorBidi" w:hAnsiTheme="majorBidi" w:cstheme="majorBidi"/>
                <w:sz w:val="22"/>
                <w:szCs w:val="22"/>
              </w:rPr>
              <w:t>1</w:t>
            </w:r>
          </w:p>
        </w:tc>
        <w:tc>
          <w:tcPr>
            <w:tcW w:w="2275" w:type="dxa"/>
            <w:vAlign w:val="center"/>
          </w:tcPr>
          <w:p w14:paraId="106A3428" w14:textId="77777777" w:rsidR="001959AB" w:rsidRPr="00747474" w:rsidRDefault="001959AB" w:rsidP="00B83520">
            <w:pPr>
              <w:rPr>
                <w:rFonts w:asciiTheme="majorBidi" w:hAnsiTheme="majorBidi" w:cstheme="majorBidi"/>
                <w:b/>
                <w:sz w:val="22"/>
                <w:szCs w:val="22"/>
                <w:u w:val="single"/>
              </w:rPr>
            </w:pPr>
            <w:r w:rsidRPr="00747474">
              <w:rPr>
                <w:rFonts w:asciiTheme="majorBidi" w:hAnsiTheme="majorBidi" w:cstheme="majorBidi"/>
                <w:b/>
                <w:sz w:val="22"/>
                <w:szCs w:val="22"/>
              </w:rPr>
              <w:t>Trading Days &amp; Hours</w:t>
            </w:r>
          </w:p>
        </w:tc>
        <w:tc>
          <w:tcPr>
            <w:tcW w:w="6570" w:type="dxa"/>
            <w:vAlign w:val="center"/>
          </w:tcPr>
          <w:p w14:paraId="555F8DC4"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Trading hours and days shall be as given below or as specified by the Exchange:</w:t>
            </w:r>
          </w:p>
          <w:p w14:paraId="4DCE6AA0" w14:textId="77777777" w:rsidR="001959AB" w:rsidRPr="00747474" w:rsidRDefault="001959AB" w:rsidP="00B83520">
            <w:pPr>
              <w:jc w:val="both"/>
              <w:rPr>
                <w:rFonts w:asciiTheme="majorBidi" w:hAnsiTheme="majorBidi" w:cstheme="majorBidi"/>
                <w:sz w:val="22"/>
                <w:szCs w:val="22"/>
              </w:rPr>
            </w:pPr>
          </w:p>
          <w:p w14:paraId="02DD4E7A"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Trading Days: Monday to Friday (excluding Exchange specified holidays)</w:t>
            </w:r>
          </w:p>
          <w:p w14:paraId="7F184355"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Trading Hours:</w:t>
            </w:r>
            <w:r w:rsidRPr="00747474">
              <w:rPr>
                <w:rFonts w:asciiTheme="majorBidi" w:hAnsiTheme="majorBidi" w:cstheme="majorBidi"/>
                <w:sz w:val="22"/>
                <w:szCs w:val="22"/>
              </w:rPr>
              <w:tab/>
              <w:t>9:00 am to 4:00 pm PST</w:t>
            </w:r>
          </w:p>
        </w:tc>
      </w:tr>
      <w:tr w:rsidR="001959AB" w:rsidRPr="00747474" w14:paraId="270AFBEA" w14:textId="77777777" w:rsidTr="00B83520">
        <w:trPr>
          <w:trHeight w:val="503"/>
        </w:trPr>
        <w:tc>
          <w:tcPr>
            <w:tcW w:w="492" w:type="dxa"/>
            <w:vAlign w:val="center"/>
          </w:tcPr>
          <w:p w14:paraId="746EA426"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2</w:t>
            </w:r>
          </w:p>
        </w:tc>
        <w:tc>
          <w:tcPr>
            <w:tcW w:w="2275" w:type="dxa"/>
            <w:vAlign w:val="center"/>
          </w:tcPr>
          <w:p w14:paraId="539C35BF"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Trading System</w:t>
            </w:r>
          </w:p>
        </w:tc>
        <w:tc>
          <w:tcPr>
            <w:tcW w:w="6570" w:type="dxa"/>
            <w:vAlign w:val="center"/>
          </w:tcPr>
          <w:p w14:paraId="2AC6C89D"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PMEX ETS</w:t>
            </w:r>
          </w:p>
        </w:tc>
      </w:tr>
      <w:tr w:rsidR="001959AB" w:rsidRPr="00747474" w14:paraId="023722BE" w14:textId="77777777" w:rsidTr="00B83520">
        <w:trPr>
          <w:trHeight w:val="503"/>
        </w:trPr>
        <w:tc>
          <w:tcPr>
            <w:tcW w:w="492" w:type="dxa"/>
            <w:vAlign w:val="center"/>
          </w:tcPr>
          <w:p w14:paraId="6B6F016B" w14:textId="77777777" w:rsidR="001959AB" w:rsidRDefault="001959AB" w:rsidP="00B83520">
            <w:pPr>
              <w:jc w:val="center"/>
              <w:rPr>
                <w:rFonts w:asciiTheme="majorBidi" w:hAnsiTheme="majorBidi" w:cstheme="majorBidi"/>
                <w:sz w:val="22"/>
                <w:szCs w:val="22"/>
              </w:rPr>
            </w:pPr>
            <w:r>
              <w:rPr>
                <w:rFonts w:asciiTheme="majorBidi" w:hAnsiTheme="majorBidi" w:cstheme="majorBidi"/>
                <w:sz w:val="22"/>
                <w:szCs w:val="22"/>
              </w:rPr>
              <w:t>3</w:t>
            </w:r>
          </w:p>
        </w:tc>
        <w:tc>
          <w:tcPr>
            <w:tcW w:w="2275" w:type="dxa"/>
            <w:vAlign w:val="center"/>
          </w:tcPr>
          <w:p w14:paraId="1C9655AB" w14:textId="77777777" w:rsidR="001959AB" w:rsidRPr="00747474" w:rsidRDefault="001959AB" w:rsidP="00B83520">
            <w:pPr>
              <w:rPr>
                <w:rFonts w:asciiTheme="majorBidi" w:hAnsiTheme="majorBidi" w:cstheme="majorBidi"/>
                <w:b/>
                <w:sz w:val="22"/>
                <w:szCs w:val="22"/>
              </w:rPr>
            </w:pPr>
            <w:r>
              <w:rPr>
                <w:rFonts w:asciiTheme="majorBidi" w:hAnsiTheme="majorBidi" w:cstheme="majorBidi"/>
                <w:b/>
                <w:sz w:val="22"/>
                <w:szCs w:val="22"/>
              </w:rPr>
              <w:t>Trading System Code</w:t>
            </w:r>
          </w:p>
        </w:tc>
        <w:tc>
          <w:tcPr>
            <w:tcW w:w="6570" w:type="dxa"/>
            <w:vAlign w:val="center"/>
          </w:tcPr>
          <w:p w14:paraId="4E6134E5" w14:textId="0E72B9C0" w:rsidR="001959AB" w:rsidRPr="00747474" w:rsidRDefault="001959AB" w:rsidP="00B83520">
            <w:pPr>
              <w:jc w:val="both"/>
              <w:rPr>
                <w:rFonts w:asciiTheme="majorBidi" w:hAnsiTheme="majorBidi" w:cstheme="majorBidi"/>
                <w:sz w:val="22"/>
                <w:szCs w:val="22"/>
              </w:rPr>
            </w:pPr>
            <w:r>
              <w:rPr>
                <w:rFonts w:asciiTheme="majorBidi" w:hAnsiTheme="majorBidi" w:cstheme="majorBidi"/>
                <w:sz w:val="22"/>
                <w:szCs w:val="22"/>
              </w:rPr>
              <w:t>EW</w:t>
            </w:r>
            <w:r w:rsidR="004109BA">
              <w:rPr>
                <w:rFonts w:asciiTheme="majorBidi" w:hAnsiTheme="majorBidi" w:cstheme="majorBidi"/>
                <w:sz w:val="22"/>
                <w:szCs w:val="22"/>
              </w:rPr>
              <w:t>R</w:t>
            </w:r>
            <w:r w:rsidR="001C5206">
              <w:rPr>
                <w:rFonts w:asciiTheme="majorBidi" w:hAnsiTheme="majorBidi" w:cstheme="majorBidi"/>
                <w:sz w:val="22"/>
                <w:szCs w:val="22"/>
              </w:rPr>
              <w:t>KBP1</w:t>
            </w:r>
            <w:r>
              <w:rPr>
                <w:rFonts w:asciiTheme="majorBidi" w:hAnsiTheme="majorBidi" w:cstheme="majorBidi"/>
                <w:sz w:val="22"/>
                <w:szCs w:val="22"/>
              </w:rPr>
              <w:t xml:space="preserve"> + (Warehouse Location/District/City)</w:t>
            </w:r>
          </w:p>
        </w:tc>
      </w:tr>
      <w:tr w:rsidR="001959AB" w:rsidRPr="00747474" w14:paraId="0E038693" w14:textId="77777777" w:rsidTr="00B83520">
        <w:trPr>
          <w:trHeight w:val="413"/>
        </w:trPr>
        <w:tc>
          <w:tcPr>
            <w:tcW w:w="492" w:type="dxa"/>
            <w:vAlign w:val="center"/>
          </w:tcPr>
          <w:p w14:paraId="183C7591"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4</w:t>
            </w:r>
          </w:p>
        </w:tc>
        <w:tc>
          <w:tcPr>
            <w:tcW w:w="2275" w:type="dxa"/>
            <w:vAlign w:val="center"/>
          </w:tcPr>
          <w:p w14:paraId="62770B66"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Unit of Trading</w:t>
            </w:r>
          </w:p>
        </w:tc>
        <w:tc>
          <w:tcPr>
            <w:tcW w:w="6570" w:type="dxa"/>
            <w:vAlign w:val="center"/>
          </w:tcPr>
          <w:p w14:paraId="0BFD4317"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Metric Ton (MT) </w:t>
            </w:r>
          </w:p>
        </w:tc>
      </w:tr>
      <w:tr w:rsidR="001959AB" w:rsidRPr="00747474" w14:paraId="53344990" w14:textId="77777777" w:rsidTr="00B83520">
        <w:trPr>
          <w:trHeight w:val="647"/>
        </w:trPr>
        <w:tc>
          <w:tcPr>
            <w:tcW w:w="492" w:type="dxa"/>
            <w:vAlign w:val="center"/>
          </w:tcPr>
          <w:p w14:paraId="384E783D"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5</w:t>
            </w:r>
          </w:p>
        </w:tc>
        <w:tc>
          <w:tcPr>
            <w:tcW w:w="2275" w:type="dxa"/>
            <w:vAlign w:val="center"/>
          </w:tcPr>
          <w:p w14:paraId="356796E6"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Price Quotation</w:t>
            </w:r>
          </w:p>
        </w:tc>
        <w:tc>
          <w:tcPr>
            <w:tcW w:w="6570" w:type="dxa"/>
            <w:shd w:val="clear" w:color="auto" w:fill="auto"/>
            <w:vAlign w:val="center"/>
          </w:tcPr>
          <w:p w14:paraId="6214CE1E"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Price quotation shall be in PKR per MT exclusive of all taxes, </w:t>
            </w:r>
            <w:r>
              <w:rPr>
                <w:rFonts w:asciiTheme="majorBidi" w:hAnsiTheme="majorBidi" w:cstheme="majorBidi"/>
                <w:sz w:val="22"/>
                <w:szCs w:val="22"/>
              </w:rPr>
              <w:t xml:space="preserve">charges and fees </w:t>
            </w:r>
            <w:r w:rsidRPr="00747474">
              <w:rPr>
                <w:rFonts w:asciiTheme="majorBidi" w:hAnsiTheme="majorBidi" w:cstheme="majorBidi"/>
                <w:sz w:val="22"/>
                <w:szCs w:val="22"/>
              </w:rPr>
              <w:t xml:space="preserve">or as specified by the Exchange. </w:t>
            </w:r>
          </w:p>
        </w:tc>
      </w:tr>
      <w:tr w:rsidR="001959AB" w:rsidRPr="00747474" w14:paraId="3FC9B040" w14:textId="77777777" w:rsidTr="00B83520">
        <w:trPr>
          <w:trHeight w:val="377"/>
        </w:trPr>
        <w:tc>
          <w:tcPr>
            <w:tcW w:w="492" w:type="dxa"/>
            <w:vAlign w:val="center"/>
          </w:tcPr>
          <w:p w14:paraId="17F6EC09" w14:textId="77777777" w:rsidR="001959AB" w:rsidRDefault="001959AB" w:rsidP="00B83520">
            <w:pPr>
              <w:jc w:val="center"/>
              <w:rPr>
                <w:rFonts w:asciiTheme="majorBidi" w:hAnsiTheme="majorBidi" w:cstheme="majorBidi"/>
                <w:sz w:val="22"/>
                <w:szCs w:val="22"/>
              </w:rPr>
            </w:pPr>
            <w:r>
              <w:rPr>
                <w:rFonts w:asciiTheme="majorBidi" w:hAnsiTheme="majorBidi" w:cstheme="majorBidi"/>
                <w:sz w:val="22"/>
                <w:szCs w:val="22"/>
              </w:rPr>
              <w:t>6</w:t>
            </w:r>
          </w:p>
        </w:tc>
        <w:tc>
          <w:tcPr>
            <w:tcW w:w="2275" w:type="dxa"/>
            <w:vAlign w:val="center"/>
          </w:tcPr>
          <w:p w14:paraId="76C9DD1F" w14:textId="77777777" w:rsidR="001959AB" w:rsidRPr="00747474" w:rsidRDefault="001959AB" w:rsidP="00B83520">
            <w:pPr>
              <w:rPr>
                <w:rFonts w:asciiTheme="majorBidi" w:hAnsiTheme="majorBidi" w:cstheme="majorBidi"/>
                <w:b/>
                <w:sz w:val="22"/>
                <w:szCs w:val="22"/>
              </w:rPr>
            </w:pPr>
            <w:r>
              <w:rPr>
                <w:rFonts w:asciiTheme="majorBidi" w:hAnsiTheme="majorBidi" w:cstheme="majorBidi"/>
                <w:b/>
                <w:sz w:val="22"/>
                <w:szCs w:val="22"/>
              </w:rPr>
              <w:t>Contract Size</w:t>
            </w:r>
          </w:p>
        </w:tc>
        <w:tc>
          <w:tcPr>
            <w:tcW w:w="6570" w:type="dxa"/>
            <w:shd w:val="clear" w:color="auto" w:fill="auto"/>
            <w:vAlign w:val="center"/>
          </w:tcPr>
          <w:p w14:paraId="3934F5E2" w14:textId="77777777" w:rsidR="001959AB" w:rsidRPr="00747474" w:rsidRDefault="001959AB" w:rsidP="00B83520">
            <w:pPr>
              <w:jc w:val="both"/>
              <w:rPr>
                <w:rFonts w:asciiTheme="majorBidi" w:hAnsiTheme="majorBidi" w:cstheme="majorBidi"/>
                <w:sz w:val="22"/>
                <w:szCs w:val="22"/>
              </w:rPr>
            </w:pPr>
            <w:r>
              <w:rPr>
                <w:rFonts w:asciiTheme="majorBidi" w:hAnsiTheme="majorBidi" w:cstheme="majorBidi"/>
                <w:sz w:val="22"/>
                <w:szCs w:val="22"/>
              </w:rPr>
              <w:t>1 (One) Metric Ton (MT) or as specified by the Exchange</w:t>
            </w:r>
          </w:p>
        </w:tc>
      </w:tr>
      <w:tr w:rsidR="001959AB" w:rsidRPr="00747474" w14:paraId="0B2BABA7" w14:textId="77777777" w:rsidTr="00B83520">
        <w:trPr>
          <w:trHeight w:val="305"/>
        </w:trPr>
        <w:tc>
          <w:tcPr>
            <w:tcW w:w="492" w:type="dxa"/>
            <w:vAlign w:val="center"/>
          </w:tcPr>
          <w:p w14:paraId="377B563A"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7</w:t>
            </w:r>
          </w:p>
        </w:tc>
        <w:tc>
          <w:tcPr>
            <w:tcW w:w="2275" w:type="dxa"/>
            <w:vAlign w:val="center"/>
          </w:tcPr>
          <w:p w14:paraId="11A7B3C8"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Tick Size</w:t>
            </w:r>
          </w:p>
        </w:tc>
        <w:tc>
          <w:tcPr>
            <w:tcW w:w="6570" w:type="dxa"/>
            <w:shd w:val="clear" w:color="auto" w:fill="auto"/>
            <w:vAlign w:val="center"/>
          </w:tcPr>
          <w:p w14:paraId="69A8C8C9"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PKR 1 per MT or as specified by the Exchange.</w:t>
            </w:r>
          </w:p>
        </w:tc>
      </w:tr>
      <w:tr w:rsidR="001959AB" w:rsidRPr="00747474" w14:paraId="30A44B72" w14:textId="77777777" w:rsidTr="00B83520">
        <w:trPr>
          <w:trHeight w:val="458"/>
        </w:trPr>
        <w:tc>
          <w:tcPr>
            <w:tcW w:w="492" w:type="dxa"/>
            <w:vAlign w:val="center"/>
          </w:tcPr>
          <w:p w14:paraId="2564D6F9"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8</w:t>
            </w:r>
          </w:p>
        </w:tc>
        <w:tc>
          <w:tcPr>
            <w:tcW w:w="2275" w:type="dxa"/>
            <w:vAlign w:val="center"/>
          </w:tcPr>
          <w:p w14:paraId="2897D5DE"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Delivery Unit</w:t>
            </w:r>
          </w:p>
        </w:tc>
        <w:tc>
          <w:tcPr>
            <w:tcW w:w="6570" w:type="dxa"/>
            <w:vAlign w:val="center"/>
          </w:tcPr>
          <w:p w14:paraId="63F45D18"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As per Electronic Warehouse Receipt (EWR) issued by accredited Warehouse Operator </w:t>
            </w:r>
            <w:r>
              <w:rPr>
                <w:rFonts w:asciiTheme="majorBidi" w:hAnsiTheme="majorBidi" w:cstheme="majorBidi"/>
                <w:sz w:val="22"/>
                <w:szCs w:val="22"/>
              </w:rPr>
              <w:t xml:space="preserve">in compliance with </w:t>
            </w:r>
            <w:r w:rsidRPr="00747474">
              <w:rPr>
                <w:rFonts w:asciiTheme="majorBidi" w:hAnsiTheme="majorBidi" w:cstheme="majorBidi"/>
                <w:sz w:val="22"/>
                <w:szCs w:val="22"/>
              </w:rPr>
              <w:t xml:space="preserve">Collateral Management Companies Regulations, 2019 </w:t>
            </w:r>
            <w:r>
              <w:rPr>
                <w:rFonts w:asciiTheme="majorBidi" w:hAnsiTheme="majorBidi" w:cstheme="majorBidi"/>
                <w:sz w:val="22"/>
                <w:szCs w:val="22"/>
              </w:rPr>
              <w:t xml:space="preserve">(CMC Regulations). </w:t>
            </w:r>
          </w:p>
        </w:tc>
      </w:tr>
      <w:tr w:rsidR="001959AB" w:rsidRPr="00747474" w14:paraId="08F1D1AD" w14:textId="77777777" w:rsidTr="00B83520">
        <w:trPr>
          <w:trHeight w:val="359"/>
        </w:trPr>
        <w:tc>
          <w:tcPr>
            <w:tcW w:w="492" w:type="dxa"/>
            <w:vAlign w:val="center"/>
          </w:tcPr>
          <w:p w14:paraId="29EF1335"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9</w:t>
            </w:r>
          </w:p>
        </w:tc>
        <w:tc>
          <w:tcPr>
            <w:tcW w:w="2275" w:type="dxa"/>
            <w:vAlign w:val="center"/>
          </w:tcPr>
          <w:p w14:paraId="53C093F9"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Delivery Logic</w:t>
            </w:r>
          </w:p>
        </w:tc>
        <w:tc>
          <w:tcPr>
            <w:tcW w:w="6570" w:type="dxa"/>
            <w:vAlign w:val="center"/>
          </w:tcPr>
          <w:p w14:paraId="1DF98862" w14:textId="77777777" w:rsidR="001959AB" w:rsidRPr="00747474" w:rsidRDefault="001959AB" w:rsidP="00B83520">
            <w:pPr>
              <w:jc w:val="both"/>
              <w:rPr>
                <w:rFonts w:asciiTheme="majorBidi" w:hAnsiTheme="majorBidi" w:cstheme="majorBidi"/>
                <w:sz w:val="22"/>
                <w:szCs w:val="22"/>
              </w:rPr>
            </w:pPr>
            <w:r>
              <w:rPr>
                <w:rFonts w:asciiTheme="majorBidi" w:hAnsiTheme="majorBidi" w:cstheme="majorBidi"/>
                <w:sz w:val="22"/>
                <w:szCs w:val="22"/>
              </w:rPr>
              <w:t>Delivery by way of electronic warehouse receipts (EWRs) giving title to underlying commodity stored at accredited warehouse operator.</w:t>
            </w:r>
          </w:p>
        </w:tc>
      </w:tr>
      <w:tr w:rsidR="001959AB" w:rsidRPr="00747474" w14:paraId="4A3A2E7F" w14:textId="77777777" w:rsidTr="00B83520">
        <w:trPr>
          <w:trHeight w:val="278"/>
        </w:trPr>
        <w:tc>
          <w:tcPr>
            <w:tcW w:w="492" w:type="dxa"/>
            <w:vAlign w:val="center"/>
          </w:tcPr>
          <w:p w14:paraId="4005848F"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10</w:t>
            </w:r>
          </w:p>
        </w:tc>
        <w:tc>
          <w:tcPr>
            <w:tcW w:w="2275" w:type="dxa"/>
            <w:vAlign w:val="center"/>
          </w:tcPr>
          <w:p w14:paraId="2EBB29F5"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Quality/Quantity Assessment</w:t>
            </w:r>
          </w:p>
        </w:tc>
        <w:tc>
          <w:tcPr>
            <w:tcW w:w="6570" w:type="dxa"/>
            <w:vAlign w:val="center"/>
          </w:tcPr>
          <w:p w14:paraId="5D4564D5"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The quality/quantity assessment will be performed at the time of deposit &amp; withdrawal/physical delivery of the commodity by the Warehouse Operator. The EWR will be issued by the accredited Warehouse Operator </w:t>
            </w:r>
            <w:r>
              <w:rPr>
                <w:rFonts w:asciiTheme="majorBidi" w:hAnsiTheme="majorBidi" w:cstheme="majorBidi"/>
                <w:sz w:val="22"/>
                <w:szCs w:val="22"/>
              </w:rPr>
              <w:t xml:space="preserve">of Collateral Management Company registered under CMC Regulations </w:t>
            </w:r>
            <w:r w:rsidRPr="00747474">
              <w:rPr>
                <w:rFonts w:asciiTheme="majorBidi" w:hAnsiTheme="majorBidi" w:cstheme="majorBidi"/>
                <w:sz w:val="22"/>
                <w:szCs w:val="22"/>
              </w:rPr>
              <w:t>as per quality grade and weight of the commodity.</w:t>
            </w:r>
          </w:p>
        </w:tc>
      </w:tr>
      <w:tr w:rsidR="001959AB" w:rsidRPr="00747474" w14:paraId="77575A35" w14:textId="77777777" w:rsidTr="00B83520">
        <w:trPr>
          <w:trHeight w:val="350"/>
        </w:trPr>
        <w:tc>
          <w:tcPr>
            <w:tcW w:w="492" w:type="dxa"/>
            <w:vAlign w:val="center"/>
          </w:tcPr>
          <w:p w14:paraId="3516A64A" w14:textId="77777777" w:rsidR="001959AB" w:rsidRPr="00747474" w:rsidRDefault="001959AB" w:rsidP="00B83520">
            <w:pPr>
              <w:jc w:val="center"/>
              <w:rPr>
                <w:rFonts w:asciiTheme="majorBidi" w:hAnsiTheme="majorBidi" w:cstheme="majorBidi"/>
                <w:sz w:val="22"/>
                <w:szCs w:val="22"/>
                <w:highlight w:val="yellow"/>
              </w:rPr>
            </w:pPr>
            <w:r>
              <w:rPr>
                <w:rFonts w:asciiTheme="majorBidi" w:hAnsiTheme="majorBidi" w:cstheme="majorBidi"/>
                <w:sz w:val="22"/>
                <w:szCs w:val="22"/>
              </w:rPr>
              <w:t>11</w:t>
            </w:r>
          </w:p>
        </w:tc>
        <w:tc>
          <w:tcPr>
            <w:tcW w:w="2275" w:type="dxa"/>
            <w:vAlign w:val="center"/>
          </w:tcPr>
          <w:p w14:paraId="40F62ACB"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Packaging</w:t>
            </w:r>
          </w:p>
        </w:tc>
        <w:tc>
          <w:tcPr>
            <w:tcW w:w="6570" w:type="dxa"/>
            <w:vAlign w:val="center"/>
          </w:tcPr>
          <w:p w14:paraId="3ED47348"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As per EWR</w:t>
            </w:r>
          </w:p>
        </w:tc>
      </w:tr>
      <w:tr w:rsidR="001959AB" w:rsidRPr="00747474" w14:paraId="11F282E2" w14:textId="77777777" w:rsidTr="00B83520">
        <w:trPr>
          <w:trHeight w:val="332"/>
        </w:trPr>
        <w:tc>
          <w:tcPr>
            <w:tcW w:w="492" w:type="dxa"/>
            <w:vAlign w:val="center"/>
          </w:tcPr>
          <w:p w14:paraId="6D2CA746" w14:textId="77777777" w:rsidR="001959AB" w:rsidRPr="00747474" w:rsidRDefault="001959AB" w:rsidP="00B83520">
            <w:pPr>
              <w:jc w:val="cente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2</w:t>
            </w:r>
          </w:p>
        </w:tc>
        <w:tc>
          <w:tcPr>
            <w:tcW w:w="2275" w:type="dxa"/>
            <w:vAlign w:val="center"/>
          </w:tcPr>
          <w:p w14:paraId="651A2ABA" w14:textId="77777777" w:rsidR="001959AB" w:rsidRPr="00747474" w:rsidRDefault="001959AB" w:rsidP="00B83520">
            <w:pPr>
              <w:rPr>
                <w:rFonts w:asciiTheme="majorBidi" w:hAnsiTheme="majorBidi" w:cstheme="majorBidi"/>
                <w:b/>
                <w:bCs/>
                <w:sz w:val="22"/>
                <w:szCs w:val="22"/>
                <w:highlight w:val="lightGray"/>
              </w:rPr>
            </w:pPr>
            <w:r w:rsidRPr="00747474">
              <w:rPr>
                <w:rFonts w:asciiTheme="majorBidi" w:hAnsiTheme="majorBidi" w:cstheme="majorBidi"/>
                <w:b/>
                <w:sz w:val="22"/>
                <w:szCs w:val="22"/>
              </w:rPr>
              <w:t>Delivery Centers</w:t>
            </w:r>
          </w:p>
        </w:tc>
        <w:tc>
          <w:tcPr>
            <w:tcW w:w="6570" w:type="dxa"/>
            <w:vAlign w:val="center"/>
          </w:tcPr>
          <w:p w14:paraId="37E61CFA"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As per EWR</w:t>
            </w:r>
            <w:r>
              <w:rPr>
                <w:rFonts w:asciiTheme="majorBidi" w:hAnsiTheme="majorBidi" w:cstheme="majorBidi"/>
                <w:sz w:val="22"/>
                <w:szCs w:val="22"/>
              </w:rPr>
              <w:t xml:space="preserve"> or as specified by the Exchange</w:t>
            </w:r>
          </w:p>
        </w:tc>
      </w:tr>
      <w:tr w:rsidR="001959AB" w:rsidRPr="00747474" w14:paraId="3F39E74D" w14:textId="77777777" w:rsidTr="00B83520">
        <w:trPr>
          <w:trHeight w:val="548"/>
        </w:trPr>
        <w:tc>
          <w:tcPr>
            <w:tcW w:w="492" w:type="dxa"/>
            <w:vAlign w:val="center"/>
          </w:tcPr>
          <w:p w14:paraId="1F93C656"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3</w:t>
            </w:r>
          </w:p>
        </w:tc>
        <w:tc>
          <w:tcPr>
            <w:tcW w:w="2275" w:type="dxa"/>
            <w:vAlign w:val="center"/>
          </w:tcPr>
          <w:p w14:paraId="032C877F"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Contract Duration</w:t>
            </w:r>
          </w:p>
        </w:tc>
        <w:tc>
          <w:tcPr>
            <w:tcW w:w="6570" w:type="dxa"/>
            <w:vAlign w:val="center"/>
          </w:tcPr>
          <w:p w14:paraId="5E56B3BB"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Each contract will be available for trading only for one business day during the trading session or as specified by the Exchange.</w:t>
            </w:r>
          </w:p>
        </w:tc>
      </w:tr>
      <w:tr w:rsidR="001959AB" w:rsidRPr="00747474" w14:paraId="791D722D" w14:textId="77777777" w:rsidTr="00B83520">
        <w:trPr>
          <w:trHeight w:val="440"/>
        </w:trPr>
        <w:tc>
          <w:tcPr>
            <w:tcW w:w="492" w:type="dxa"/>
            <w:vAlign w:val="center"/>
          </w:tcPr>
          <w:p w14:paraId="2B6B41B3" w14:textId="77777777" w:rsidR="001959AB" w:rsidRPr="00747474" w:rsidRDefault="001959AB" w:rsidP="00B83520">
            <w:pPr>
              <w:rPr>
                <w:rFonts w:asciiTheme="majorBidi" w:hAnsiTheme="majorBidi" w:cstheme="majorBidi"/>
                <w:sz w:val="22"/>
                <w:szCs w:val="22"/>
                <w:highlight w:val="yellow"/>
              </w:rPr>
            </w:pPr>
            <w:r w:rsidRPr="00747474">
              <w:rPr>
                <w:rFonts w:asciiTheme="majorBidi" w:hAnsiTheme="majorBidi" w:cstheme="majorBidi"/>
                <w:sz w:val="22"/>
                <w:szCs w:val="22"/>
              </w:rPr>
              <w:t>1</w:t>
            </w:r>
            <w:r>
              <w:rPr>
                <w:rFonts w:asciiTheme="majorBidi" w:hAnsiTheme="majorBidi" w:cstheme="majorBidi"/>
                <w:sz w:val="22"/>
                <w:szCs w:val="22"/>
              </w:rPr>
              <w:t>4</w:t>
            </w:r>
          </w:p>
        </w:tc>
        <w:tc>
          <w:tcPr>
            <w:tcW w:w="2275" w:type="dxa"/>
            <w:vAlign w:val="center"/>
          </w:tcPr>
          <w:p w14:paraId="4CC449DE"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Daily Price Limit</w:t>
            </w:r>
          </w:p>
        </w:tc>
        <w:tc>
          <w:tcPr>
            <w:tcW w:w="6570" w:type="dxa"/>
            <w:vAlign w:val="center"/>
          </w:tcPr>
          <w:p w14:paraId="21529B53"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sz w:val="22"/>
                <w:szCs w:val="22"/>
                <w:u w:val="single"/>
              </w:rPr>
              <w:t>+</w:t>
            </w:r>
            <w:r w:rsidRPr="00747474">
              <w:rPr>
                <w:rFonts w:asciiTheme="majorBidi" w:hAnsiTheme="majorBidi" w:cstheme="majorBidi"/>
                <w:sz w:val="22"/>
                <w:szCs w:val="22"/>
              </w:rPr>
              <w:t xml:space="preserve"> </w:t>
            </w:r>
            <w:r>
              <w:rPr>
                <w:rFonts w:asciiTheme="majorBidi" w:hAnsiTheme="majorBidi" w:cstheme="majorBidi"/>
                <w:sz w:val="22"/>
                <w:szCs w:val="22"/>
              </w:rPr>
              <w:t xml:space="preserve">2.5 </w:t>
            </w:r>
            <w:r w:rsidRPr="00747474">
              <w:rPr>
                <w:rFonts w:asciiTheme="majorBidi" w:hAnsiTheme="majorBidi" w:cstheme="majorBidi"/>
                <w:sz w:val="22"/>
                <w:szCs w:val="22"/>
              </w:rPr>
              <w:t>%, or as specified by the Exchange.</w:t>
            </w:r>
          </w:p>
        </w:tc>
      </w:tr>
      <w:tr w:rsidR="001959AB" w:rsidRPr="00747474" w14:paraId="3D7FED50" w14:textId="77777777" w:rsidTr="00B83520">
        <w:trPr>
          <w:trHeight w:val="737"/>
        </w:trPr>
        <w:tc>
          <w:tcPr>
            <w:tcW w:w="492" w:type="dxa"/>
            <w:vAlign w:val="center"/>
          </w:tcPr>
          <w:p w14:paraId="79B21CEF"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5</w:t>
            </w:r>
          </w:p>
        </w:tc>
        <w:tc>
          <w:tcPr>
            <w:tcW w:w="2275" w:type="dxa"/>
            <w:vAlign w:val="center"/>
          </w:tcPr>
          <w:p w14:paraId="410CEEF1"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Margin Requirement</w:t>
            </w:r>
          </w:p>
          <w:p w14:paraId="28375F9B" w14:textId="77777777" w:rsidR="001959AB" w:rsidRPr="00747474" w:rsidRDefault="001959AB" w:rsidP="00B83520">
            <w:pPr>
              <w:rPr>
                <w:rFonts w:asciiTheme="majorBidi" w:hAnsiTheme="majorBidi" w:cstheme="majorBidi"/>
                <w:b/>
                <w:sz w:val="22"/>
                <w:szCs w:val="22"/>
              </w:rPr>
            </w:pPr>
          </w:p>
        </w:tc>
        <w:tc>
          <w:tcPr>
            <w:tcW w:w="6570" w:type="dxa"/>
            <w:vAlign w:val="center"/>
          </w:tcPr>
          <w:p w14:paraId="6F5B7ECB"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Buyer shall deposit 100 % cash and all applicable fees and charges with the Exchange before buying a contract or as specified by the Exchange.</w:t>
            </w:r>
          </w:p>
          <w:p w14:paraId="241C2882" w14:textId="77777777" w:rsidR="001959AB" w:rsidRPr="00747474" w:rsidRDefault="001959AB" w:rsidP="00B83520">
            <w:pPr>
              <w:jc w:val="both"/>
              <w:rPr>
                <w:rFonts w:asciiTheme="majorBidi" w:hAnsiTheme="majorBidi" w:cstheme="majorBidi"/>
                <w:color w:val="000000"/>
                <w:sz w:val="22"/>
                <w:szCs w:val="22"/>
              </w:rPr>
            </w:pPr>
          </w:p>
          <w:p w14:paraId="674AD951"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Only those Sellers will be eligible to place orders who have valid Electronic Warehouse Receipt (EWR) as per quality grade in their name issued by the CMC accredited Warehouse Operator through the system of CMC and make available in margin account maintained with the Exchange. Short selling is not allowed.</w:t>
            </w:r>
          </w:p>
        </w:tc>
      </w:tr>
      <w:tr w:rsidR="001959AB" w:rsidRPr="00747474" w14:paraId="669DC829" w14:textId="77777777" w:rsidTr="00B83520">
        <w:trPr>
          <w:trHeight w:val="737"/>
        </w:trPr>
        <w:tc>
          <w:tcPr>
            <w:tcW w:w="492" w:type="dxa"/>
            <w:vAlign w:val="center"/>
          </w:tcPr>
          <w:p w14:paraId="6FBFFDB0"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16</w:t>
            </w:r>
          </w:p>
        </w:tc>
        <w:tc>
          <w:tcPr>
            <w:tcW w:w="2275" w:type="dxa"/>
            <w:vAlign w:val="center"/>
          </w:tcPr>
          <w:p w14:paraId="33742ACC" w14:textId="77777777" w:rsidR="001959AB" w:rsidRPr="00747474" w:rsidRDefault="001959AB" w:rsidP="00B83520">
            <w:pPr>
              <w:rPr>
                <w:rFonts w:asciiTheme="majorBidi" w:hAnsiTheme="majorBidi" w:cstheme="majorBidi"/>
                <w:b/>
                <w:sz w:val="22"/>
                <w:szCs w:val="22"/>
              </w:rPr>
            </w:pPr>
            <w:r>
              <w:rPr>
                <w:rFonts w:asciiTheme="majorBidi" w:hAnsiTheme="majorBidi" w:cstheme="majorBidi"/>
                <w:b/>
                <w:sz w:val="22"/>
                <w:szCs w:val="22"/>
              </w:rPr>
              <w:t>Additional Margin</w:t>
            </w:r>
          </w:p>
        </w:tc>
        <w:tc>
          <w:tcPr>
            <w:tcW w:w="6570" w:type="dxa"/>
            <w:vAlign w:val="center"/>
          </w:tcPr>
          <w:p w14:paraId="0A9A9048" w14:textId="77777777" w:rsidR="001959AB" w:rsidRPr="00747474" w:rsidRDefault="001959AB" w:rsidP="00B83520">
            <w:pPr>
              <w:jc w:val="both"/>
              <w:rPr>
                <w:rFonts w:asciiTheme="majorBidi" w:hAnsiTheme="majorBidi" w:cstheme="majorBidi"/>
                <w:color w:val="000000"/>
                <w:sz w:val="22"/>
                <w:szCs w:val="22"/>
              </w:rPr>
            </w:pPr>
            <w:r>
              <w:rPr>
                <w:rFonts w:asciiTheme="majorBidi" w:hAnsiTheme="majorBidi" w:cstheme="majorBidi"/>
                <w:color w:val="000000"/>
                <w:sz w:val="22"/>
                <w:szCs w:val="22"/>
              </w:rPr>
              <w:t>Exchange reserves the right to impose additional margin due to increased or excessive volatility or due to any other reason Exchange deems appropriate.</w:t>
            </w:r>
          </w:p>
        </w:tc>
      </w:tr>
      <w:tr w:rsidR="001959AB" w:rsidRPr="00D73E84" w14:paraId="459E4B88" w14:textId="77777777" w:rsidTr="00B83520">
        <w:trPr>
          <w:trHeight w:val="737"/>
        </w:trPr>
        <w:tc>
          <w:tcPr>
            <w:tcW w:w="492" w:type="dxa"/>
            <w:vAlign w:val="center"/>
          </w:tcPr>
          <w:p w14:paraId="4E14BAF7"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7</w:t>
            </w:r>
          </w:p>
        </w:tc>
        <w:tc>
          <w:tcPr>
            <w:tcW w:w="2275" w:type="dxa"/>
            <w:vAlign w:val="center"/>
          </w:tcPr>
          <w:p w14:paraId="0C55690E"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Daily Settlement Price</w:t>
            </w:r>
          </w:p>
        </w:tc>
        <w:tc>
          <w:tcPr>
            <w:tcW w:w="6570" w:type="dxa"/>
            <w:vAlign w:val="center"/>
          </w:tcPr>
          <w:p w14:paraId="43ABF0F6"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sz w:val="22"/>
                <w:szCs w:val="22"/>
              </w:rPr>
              <w:t xml:space="preserve">All open positions will be marked-to-market using the Daily </w:t>
            </w:r>
            <w:r>
              <w:rPr>
                <w:rFonts w:asciiTheme="majorBidi" w:hAnsiTheme="majorBidi" w:cstheme="majorBidi"/>
                <w:sz w:val="22"/>
                <w:szCs w:val="22"/>
              </w:rPr>
              <w:t>S</w:t>
            </w:r>
            <w:r w:rsidRPr="00747474">
              <w:rPr>
                <w:rFonts w:asciiTheme="majorBidi" w:hAnsiTheme="majorBidi" w:cstheme="majorBidi"/>
                <w:sz w:val="22"/>
                <w:szCs w:val="22"/>
              </w:rPr>
              <w:t xml:space="preserve">ettlement </w:t>
            </w:r>
            <w:r>
              <w:rPr>
                <w:rFonts w:asciiTheme="majorBidi" w:hAnsiTheme="majorBidi" w:cstheme="majorBidi"/>
                <w:sz w:val="22"/>
                <w:szCs w:val="22"/>
              </w:rPr>
              <w:t>P</w:t>
            </w:r>
            <w:r w:rsidRPr="00747474">
              <w:rPr>
                <w:rFonts w:asciiTheme="majorBidi" w:hAnsiTheme="majorBidi" w:cstheme="majorBidi"/>
                <w:sz w:val="22"/>
                <w:szCs w:val="22"/>
              </w:rPr>
              <w:t xml:space="preserve">rice. </w:t>
            </w:r>
            <w:r w:rsidRPr="00747474">
              <w:rPr>
                <w:rFonts w:asciiTheme="majorBidi" w:hAnsiTheme="majorBidi" w:cstheme="majorBidi"/>
                <w:color w:val="000000"/>
                <w:sz w:val="22"/>
                <w:szCs w:val="22"/>
              </w:rPr>
              <w:t xml:space="preserve">Exchange can determine the </w:t>
            </w:r>
            <w:r>
              <w:rPr>
                <w:rFonts w:asciiTheme="majorBidi" w:hAnsiTheme="majorBidi" w:cstheme="majorBidi"/>
                <w:color w:val="000000"/>
                <w:sz w:val="22"/>
                <w:szCs w:val="22"/>
              </w:rPr>
              <w:t>D</w:t>
            </w:r>
            <w:r w:rsidRPr="00747474">
              <w:rPr>
                <w:rFonts w:asciiTheme="majorBidi" w:hAnsiTheme="majorBidi" w:cstheme="majorBidi"/>
                <w:color w:val="000000"/>
                <w:sz w:val="22"/>
                <w:szCs w:val="22"/>
              </w:rPr>
              <w:t xml:space="preserve">aily </w:t>
            </w:r>
            <w:r>
              <w:rPr>
                <w:rFonts w:asciiTheme="majorBidi" w:hAnsiTheme="majorBidi" w:cstheme="majorBidi"/>
                <w:color w:val="000000"/>
                <w:sz w:val="22"/>
                <w:szCs w:val="22"/>
              </w:rPr>
              <w:t>S</w:t>
            </w:r>
            <w:r w:rsidRPr="00747474">
              <w:rPr>
                <w:rFonts w:asciiTheme="majorBidi" w:hAnsiTheme="majorBidi" w:cstheme="majorBidi"/>
                <w:color w:val="000000"/>
                <w:sz w:val="22"/>
                <w:szCs w:val="22"/>
              </w:rPr>
              <w:t xml:space="preserve">ettlement </w:t>
            </w:r>
            <w:r>
              <w:rPr>
                <w:rFonts w:asciiTheme="majorBidi" w:hAnsiTheme="majorBidi" w:cstheme="majorBidi"/>
                <w:color w:val="000000"/>
                <w:sz w:val="22"/>
                <w:szCs w:val="22"/>
              </w:rPr>
              <w:t>P</w:t>
            </w:r>
            <w:r w:rsidRPr="00747474">
              <w:rPr>
                <w:rFonts w:asciiTheme="majorBidi" w:hAnsiTheme="majorBidi" w:cstheme="majorBidi"/>
                <w:color w:val="000000"/>
                <w:sz w:val="22"/>
                <w:szCs w:val="22"/>
              </w:rPr>
              <w:t xml:space="preserve">rice using one of </w:t>
            </w:r>
            <w:r w:rsidRPr="00747474">
              <w:rPr>
                <w:rFonts w:asciiTheme="majorBidi" w:hAnsiTheme="majorBidi" w:cstheme="majorBidi"/>
                <w:color w:val="000000"/>
                <w:sz w:val="22"/>
                <w:szCs w:val="22"/>
              </w:rPr>
              <w:lastRenderedPageBreak/>
              <w:t>the methods described here under or in such other manner as may be prescribed by the Exchange:</w:t>
            </w:r>
          </w:p>
          <w:p w14:paraId="3647F405" w14:textId="77777777" w:rsidR="001959AB" w:rsidRDefault="001959AB" w:rsidP="00B83520">
            <w:pPr>
              <w:numPr>
                <w:ilvl w:val="0"/>
                <w:numId w:val="1"/>
              </w:numPr>
              <w:contextualSpacing/>
              <w:jc w:val="both"/>
              <w:rPr>
                <w:rFonts w:asciiTheme="majorBidi" w:eastAsia="Calibri" w:hAnsiTheme="majorBidi" w:cstheme="majorBidi"/>
                <w:color w:val="000000"/>
                <w:sz w:val="22"/>
                <w:szCs w:val="22"/>
              </w:rPr>
            </w:pPr>
            <w:r>
              <w:rPr>
                <w:rFonts w:asciiTheme="majorBidi" w:eastAsia="Calibri" w:hAnsiTheme="majorBidi" w:cstheme="majorBidi"/>
                <w:color w:val="000000"/>
                <w:sz w:val="22"/>
                <w:szCs w:val="22"/>
              </w:rPr>
              <w:t>Average of best bid and offer at the closing time</w:t>
            </w:r>
          </w:p>
          <w:p w14:paraId="016937D1" w14:textId="77777777" w:rsidR="001959AB" w:rsidRPr="00747474" w:rsidRDefault="001959AB" w:rsidP="00B83520">
            <w:pPr>
              <w:numPr>
                <w:ilvl w:val="0"/>
                <w:numId w:val="1"/>
              </w:numPr>
              <w:contextualSpacing/>
              <w:jc w:val="both"/>
              <w:rPr>
                <w:rFonts w:asciiTheme="majorBidi" w:eastAsia="Calibri" w:hAnsiTheme="majorBidi" w:cstheme="majorBidi"/>
                <w:color w:val="000000"/>
                <w:sz w:val="22"/>
                <w:szCs w:val="22"/>
              </w:rPr>
            </w:pPr>
            <w:r w:rsidRPr="00747474">
              <w:rPr>
                <w:rFonts w:asciiTheme="majorBidi" w:eastAsia="Calibri" w:hAnsiTheme="majorBidi" w:cstheme="majorBidi"/>
                <w:color w:val="000000"/>
                <w:sz w:val="22"/>
                <w:szCs w:val="22"/>
              </w:rPr>
              <w:t>Last Traded Price</w:t>
            </w:r>
          </w:p>
          <w:p w14:paraId="3C8EF1CB" w14:textId="77777777" w:rsidR="001959AB" w:rsidRPr="00747474" w:rsidRDefault="001959AB" w:rsidP="00B83520">
            <w:pPr>
              <w:numPr>
                <w:ilvl w:val="0"/>
                <w:numId w:val="1"/>
              </w:numPr>
              <w:contextualSpacing/>
              <w:jc w:val="both"/>
              <w:rPr>
                <w:rFonts w:asciiTheme="majorBidi" w:eastAsia="Calibri" w:hAnsiTheme="majorBidi" w:cstheme="majorBidi"/>
                <w:color w:val="000000"/>
                <w:sz w:val="22"/>
                <w:szCs w:val="22"/>
              </w:rPr>
            </w:pPr>
            <w:r w:rsidRPr="00747474">
              <w:rPr>
                <w:rFonts w:asciiTheme="majorBidi" w:eastAsia="Calibri" w:hAnsiTheme="majorBidi" w:cstheme="majorBidi"/>
                <w:color w:val="000000"/>
                <w:sz w:val="22"/>
                <w:szCs w:val="22"/>
              </w:rPr>
              <w:t>Value Weighted Average Price</w:t>
            </w:r>
          </w:p>
          <w:p w14:paraId="52DEBA4F" w14:textId="77777777" w:rsidR="001959AB" w:rsidRPr="00D73E84" w:rsidRDefault="001959AB" w:rsidP="00B83520">
            <w:pPr>
              <w:numPr>
                <w:ilvl w:val="0"/>
                <w:numId w:val="1"/>
              </w:numPr>
              <w:contextualSpacing/>
              <w:jc w:val="both"/>
              <w:rPr>
                <w:rFonts w:asciiTheme="majorBidi" w:eastAsia="Calibri" w:hAnsiTheme="majorBidi" w:cstheme="majorBidi"/>
                <w:color w:val="000000"/>
                <w:sz w:val="22"/>
                <w:szCs w:val="22"/>
              </w:rPr>
            </w:pPr>
            <w:r w:rsidRPr="00747474">
              <w:rPr>
                <w:rFonts w:asciiTheme="majorBidi" w:eastAsia="Calibri" w:hAnsiTheme="majorBidi" w:cstheme="majorBidi"/>
                <w:color w:val="000000"/>
                <w:sz w:val="22"/>
                <w:szCs w:val="22"/>
              </w:rPr>
              <w:t>Theoretical Futures Price based on the spot price obtained from the market sources</w:t>
            </w:r>
            <w:r>
              <w:rPr>
                <w:rFonts w:asciiTheme="majorBidi" w:eastAsia="Calibri" w:hAnsiTheme="majorBidi" w:cstheme="majorBidi"/>
                <w:color w:val="000000"/>
                <w:sz w:val="22"/>
                <w:szCs w:val="22"/>
              </w:rPr>
              <w:t xml:space="preserve"> </w:t>
            </w:r>
            <w:r w:rsidRPr="00D73E84">
              <w:rPr>
                <w:rFonts w:asciiTheme="majorBidi" w:hAnsiTheme="majorBidi" w:cstheme="majorBidi"/>
                <w:color w:val="000000"/>
                <w:sz w:val="22"/>
                <w:szCs w:val="22"/>
              </w:rPr>
              <w:t>(average of collected prices from the market will formulate the spot price)</w:t>
            </w:r>
          </w:p>
        </w:tc>
      </w:tr>
      <w:tr w:rsidR="001959AB" w:rsidRPr="00747474" w14:paraId="44F31BA4" w14:textId="77777777" w:rsidTr="00B83520">
        <w:trPr>
          <w:trHeight w:val="476"/>
        </w:trPr>
        <w:tc>
          <w:tcPr>
            <w:tcW w:w="492" w:type="dxa"/>
            <w:vAlign w:val="center"/>
          </w:tcPr>
          <w:p w14:paraId="64C46A49"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lastRenderedPageBreak/>
              <w:t>1</w:t>
            </w:r>
            <w:r>
              <w:rPr>
                <w:rFonts w:asciiTheme="majorBidi" w:hAnsiTheme="majorBidi" w:cstheme="majorBidi"/>
                <w:sz w:val="22"/>
                <w:szCs w:val="22"/>
              </w:rPr>
              <w:t>8</w:t>
            </w:r>
          </w:p>
        </w:tc>
        <w:tc>
          <w:tcPr>
            <w:tcW w:w="2275" w:type="dxa"/>
            <w:vAlign w:val="center"/>
          </w:tcPr>
          <w:p w14:paraId="5E2E501A"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Final Settlement Price</w:t>
            </w:r>
          </w:p>
        </w:tc>
        <w:tc>
          <w:tcPr>
            <w:tcW w:w="6570" w:type="dxa"/>
            <w:vAlign w:val="center"/>
          </w:tcPr>
          <w:p w14:paraId="31C3F0A1"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Final settlement price will be the </w:t>
            </w:r>
            <w:r>
              <w:rPr>
                <w:rFonts w:asciiTheme="majorBidi" w:hAnsiTheme="majorBidi" w:cstheme="majorBidi"/>
                <w:sz w:val="22"/>
                <w:szCs w:val="22"/>
              </w:rPr>
              <w:t>D</w:t>
            </w:r>
            <w:r w:rsidRPr="00747474">
              <w:rPr>
                <w:rFonts w:asciiTheme="majorBidi" w:hAnsiTheme="majorBidi" w:cstheme="majorBidi"/>
                <w:sz w:val="22"/>
                <w:szCs w:val="22"/>
              </w:rPr>
              <w:t xml:space="preserve">aily </w:t>
            </w:r>
            <w:r>
              <w:rPr>
                <w:rFonts w:asciiTheme="majorBidi" w:hAnsiTheme="majorBidi" w:cstheme="majorBidi"/>
                <w:sz w:val="22"/>
                <w:szCs w:val="22"/>
              </w:rPr>
              <w:t>S</w:t>
            </w:r>
            <w:r w:rsidRPr="00747474">
              <w:rPr>
                <w:rFonts w:asciiTheme="majorBidi" w:hAnsiTheme="majorBidi" w:cstheme="majorBidi"/>
                <w:sz w:val="22"/>
                <w:szCs w:val="22"/>
              </w:rPr>
              <w:t xml:space="preserve">ettlement </w:t>
            </w:r>
            <w:r>
              <w:rPr>
                <w:rFonts w:asciiTheme="majorBidi" w:hAnsiTheme="majorBidi" w:cstheme="majorBidi"/>
                <w:sz w:val="22"/>
                <w:szCs w:val="22"/>
              </w:rPr>
              <w:t>P</w:t>
            </w:r>
            <w:r w:rsidRPr="00747474">
              <w:rPr>
                <w:rFonts w:asciiTheme="majorBidi" w:hAnsiTheme="majorBidi" w:cstheme="majorBidi"/>
                <w:sz w:val="22"/>
                <w:szCs w:val="22"/>
              </w:rPr>
              <w:t>rice of the contract</w:t>
            </w:r>
            <w:r>
              <w:rPr>
                <w:rFonts w:asciiTheme="majorBidi" w:hAnsiTheme="majorBidi" w:cstheme="majorBidi"/>
                <w:sz w:val="22"/>
                <w:szCs w:val="22"/>
              </w:rPr>
              <w:t xml:space="preserve"> or as specified by the Exchange.</w:t>
            </w:r>
          </w:p>
        </w:tc>
      </w:tr>
      <w:tr w:rsidR="001959AB" w:rsidRPr="00747474" w14:paraId="2BBA2C0D" w14:textId="77777777" w:rsidTr="00B83520">
        <w:trPr>
          <w:trHeight w:val="737"/>
        </w:trPr>
        <w:tc>
          <w:tcPr>
            <w:tcW w:w="492" w:type="dxa"/>
            <w:vAlign w:val="center"/>
          </w:tcPr>
          <w:p w14:paraId="3D784389"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9</w:t>
            </w:r>
          </w:p>
        </w:tc>
        <w:tc>
          <w:tcPr>
            <w:tcW w:w="2275" w:type="dxa"/>
            <w:vAlign w:val="center"/>
          </w:tcPr>
          <w:p w14:paraId="49C3BA42"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Final Settlement (Pay-in and Pay-out)</w:t>
            </w:r>
          </w:p>
        </w:tc>
        <w:tc>
          <w:tcPr>
            <w:tcW w:w="6570" w:type="dxa"/>
            <w:vAlign w:val="center"/>
          </w:tcPr>
          <w:p w14:paraId="74CD477F" w14:textId="77777777" w:rsidR="001959AB" w:rsidRPr="00747474" w:rsidRDefault="001959AB" w:rsidP="00B83520">
            <w:pPr>
              <w:jc w:val="both"/>
              <w:rPr>
                <w:rFonts w:asciiTheme="majorBidi" w:hAnsiTheme="majorBidi" w:cstheme="majorBidi"/>
                <w:color w:val="000000" w:themeColor="text1"/>
                <w:sz w:val="22"/>
                <w:szCs w:val="22"/>
              </w:rPr>
            </w:pPr>
            <w:r w:rsidRPr="00747474">
              <w:rPr>
                <w:rFonts w:asciiTheme="majorBidi" w:hAnsiTheme="majorBidi" w:cstheme="majorBidi"/>
                <w:color w:val="000000" w:themeColor="text1"/>
                <w:sz w:val="22"/>
                <w:szCs w:val="22"/>
              </w:rPr>
              <w:t xml:space="preserve">All open positions after the close of contract shall be settled at Final Settlement Price </w:t>
            </w:r>
            <w:r>
              <w:rPr>
                <w:rFonts w:asciiTheme="majorBidi" w:hAnsiTheme="majorBidi" w:cstheme="majorBidi"/>
                <w:color w:val="000000" w:themeColor="text1"/>
                <w:sz w:val="22"/>
                <w:szCs w:val="22"/>
              </w:rPr>
              <w:t xml:space="preserve">or each executed trade for settlement on trade for trade basis </w:t>
            </w:r>
            <w:r w:rsidRPr="00747474">
              <w:rPr>
                <w:rFonts w:asciiTheme="majorBidi" w:hAnsiTheme="majorBidi" w:cstheme="majorBidi"/>
                <w:color w:val="000000" w:themeColor="text1"/>
                <w:sz w:val="22"/>
                <w:szCs w:val="22"/>
              </w:rPr>
              <w:t>in End of Day (EOD).</w:t>
            </w:r>
          </w:p>
          <w:p w14:paraId="023CC4F5" w14:textId="77777777" w:rsidR="001959AB" w:rsidRPr="00747474" w:rsidRDefault="001959AB" w:rsidP="00B83520">
            <w:pPr>
              <w:jc w:val="both"/>
              <w:rPr>
                <w:rFonts w:asciiTheme="majorBidi" w:hAnsiTheme="majorBidi" w:cstheme="majorBidi"/>
                <w:color w:val="000000" w:themeColor="text1"/>
                <w:sz w:val="22"/>
                <w:szCs w:val="22"/>
              </w:rPr>
            </w:pPr>
          </w:p>
          <w:p w14:paraId="705C9B2E"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Final payments </w:t>
            </w:r>
            <w:r w:rsidRPr="00747474">
              <w:rPr>
                <w:rFonts w:asciiTheme="majorBidi" w:hAnsiTheme="majorBidi" w:cstheme="majorBidi"/>
                <w:color w:val="000000" w:themeColor="text1"/>
                <w:sz w:val="22"/>
                <w:szCs w:val="22"/>
              </w:rPr>
              <w:t xml:space="preserve">of buyer/seller </w:t>
            </w:r>
            <w:r w:rsidRPr="00747474">
              <w:rPr>
                <w:rFonts w:asciiTheme="majorBidi" w:hAnsiTheme="majorBidi" w:cstheme="majorBidi"/>
                <w:sz w:val="22"/>
                <w:szCs w:val="22"/>
              </w:rPr>
              <w:t xml:space="preserve">will include Final Settlement </w:t>
            </w:r>
            <w:r>
              <w:rPr>
                <w:rFonts w:asciiTheme="majorBidi" w:hAnsiTheme="majorBidi" w:cstheme="majorBidi"/>
                <w:sz w:val="22"/>
                <w:szCs w:val="22"/>
              </w:rPr>
              <w:t>P</w:t>
            </w:r>
            <w:r w:rsidRPr="00747474">
              <w:rPr>
                <w:rFonts w:asciiTheme="majorBidi" w:hAnsiTheme="majorBidi" w:cstheme="majorBidi"/>
                <w:sz w:val="22"/>
                <w:szCs w:val="22"/>
              </w:rPr>
              <w:t xml:space="preserve">rice plus all applicable associated fees, charges and taxes at the time of transfer of EWR. </w:t>
            </w:r>
          </w:p>
        </w:tc>
      </w:tr>
      <w:tr w:rsidR="001959AB" w:rsidRPr="00747474" w14:paraId="6053FF71" w14:textId="77777777" w:rsidTr="00B83520">
        <w:trPr>
          <w:trHeight w:val="764"/>
        </w:trPr>
        <w:tc>
          <w:tcPr>
            <w:tcW w:w="492" w:type="dxa"/>
            <w:vAlign w:val="center"/>
          </w:tcPr>
          <w:p w14:paraId="2038AE57"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20</w:t>
            </w:r>
          </w:p>
        </w:tc>
        <w:tc>
          <w:tcPr>
            <w:tcW w:w="2275" w:type="dxa"/>
            <w:vAlign w:val="center"/>
          </w:tcPr>
          <w:p w14:paraId="3984FB40"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Delivery Mode</w:t>
            </w:r>
          </w:p>
        </w:tc>
        <w:tc>
          <w:tcPr>
            <w:tcW w:w="6570" w:type="dxa"/>
            <w:vAlign w:val="center"/>
          </w:tcPr>
          <w:p w14:paraId="3DA79034" w14:textId="77777777" w:rsidR="001959AB" w:rsidRPr="00747474" w:rsidRDefault="001959AB" w:rsidP="00B83520">
            <w:pPr>
              <w:jc w:val="both"/>
              <w:rPr>
                <w:rFonts w:asciiTheme="majorBidi" w:hAnsiTheme="majorBidi" w:cstheme="majorBidi"/>
                <w:color w:val="000000" w:themeColor="text1"/>
                <w:sz w:val="22"/>
                <w:szCs w:val="22"/>
              </w:rPr>
            </w:pPr>
            <w:r w:rsidRPr="00747474">
              <w:rPr>
                <w:rFonts w:asciiTheme="majorBidi" w:hAnsiTheme="majorBidi" w:cstheme="majorBidi"/>
                <w:color w:val="000000" w:themeColor="text1"/>
                <w:sz w:val="22"/>
                <w:szCs w:val="22"/>
              </w:rPr>
              <w:t xml:space="preserve">The transfer of EWR from </w:t>
            </w:r>
            <w:r>
              <w:rPr>
                <w:rFonts w:asciiTheme="majorBidi" w:hAnsiTheme="majorBidi" w:cstheme="majorBidi"/>
                <w:color w:val="000000" w:themeColor="text1"/>
                <w:sz w:val="22"/>
                <w:szCs w:val="22"/>
              </w:rPr>
              <w:t>S</w:t>
            </w:r>
            <w:r w:rsidRPr="00747474">
              <w:rPr>
                <w:rFonts w:asciiTheme="majorBidi" w:hAnsiTheme="majorBidi" w:cstheme="majorBidi"/>
                <w:color w:val="000000" w:themeColor="text1"/>
                <w:sz w:val="22"/>
                <w:szCs w:val="22"/>
              </w:rPr>
              <w:t xml:space="preserve">eller’s name to Buyer’s name in </w:t>
            </w:r>
            <w:r>
              <w:rPr>
                <w:rFonts w:asciiTheme="majorBidi" w:hAnsiTheme="majorBidi" w:cstheme="majorBidi"/>
                <w:color w:val="000000" w:themeColor="text1"/>
                <w:sz w:val="22"/>
                <w:szCs w:val="22"/>
              </w:rPr>
              <w:t>CMC system shall take effect on instructions issued by PMEX at End-of-day.</w:t>
            </w:r>
          </w:p>
        </w:tc>
      </w:tr>
      <w:tr w:rsidR="001959AB" w:rsidRPr="00747474" w14:paraId="343EDC13" w14:textId="77777777" w:rsidTr="00B83520">
        <w:trPr>
          <w:trHeight w:val="764"/>
        </w:trPr>
        <w:tc>
          <w:tcPr>
            <w:tcW w:w="492" w:type="dxa"/>
            <w:vAlign w:val="center"/>
          </w:tcPr>
          <w:p w14:paraId="117B891D"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2</w:t>
            </w:r>
            <w:r w:rsidRPr="00747474">
              <w:rPr>
                <w:rFonts w:asciiTheme="majorBidi" w:hAnsiTheme="majorBidi" w:cstheme="majorBidi"/>
                <w:sz w:val="22"/>
                <w:szCs w:val="22"/>
              </w:rPr>
              <w:t>1</w:t>
            </w:r>
          </w:p>
        </w:tc>
        <w:tc>
          <w:tcPr>
            <w:tcW w:w="2275" w:type="dxa"/>
            <w:vAlign w:val="center"/>
          </w:tcPr>
          <w:p w14:paraId="4B47E910"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Quality Specifications</w:t>
            </w:r>
          </w:p>
        </w:tc>
        <w:tc>
          <w:tcPr>
            <w:tcW w:w="6570" w:type="dxa"/>
            <w:vAlign w:val="center"/>
          </w:tcPr>
          <w:p w14:paraId="20C4E840" w14:textId="07951AEC" w:rsidR="001959AB" w:rsidRDefault="001959AB" w:rsidP="00B83520">
            <w:pPr>
              <w:jc w:val="both"/>
              <w:rPr>
                <w:rFonts w:asciiTheme="majorBidi" w:hAnsiTheme="majorBidi" w:cstheme="majorBidi"/>
                <w:noProof/>
                <w:sz w:val="22"/>
                <w:szCs w:val="22"/>
                <w:lang w:val="en-GB" w:eastAsia="en-GB"/>
              </w:rPr>
            </w:pPr>
            <w:r w:rsidRPr="00747474">
              <w:rPr>
                <w:rFonts w:asciiTheme="majorBidi" w:hAnsiTheme="majorBidi" w:cstheme="majorBidi"/>
                <w:noProof/>
                <w:sz w:val="22"/>
                <w:szCs w:val="22"/>
                <w:lang w:val="en-GB" w:eastAsia="en-GB"/>
              </w:rPr>
              <w:t xml:space="preserve">Following are the quality specifications of PMEX </w:t>
            </w:r>
            <w:r w:rsidR="00A85807" w:rsidRPr="00A85807">
              <w:rPr>
                <w:rFonts w:asciiTheme="majorBidi" w:hAnsiTheme="majorBidi" w:cstheme="majorBidi"/>
                <w:noProof/>
                <w:sz w:val="22"/>
                <w:szCs w:val="22"/>
                <w:lang w:val="en-GB" w:eastAsia="en-GB"/>
              </w:rPr>
              <w:t>Basmati Parboiled Raw Rice (Grade A</w:t>
            </w:r>
            <w:r w:rsidR="007178FA">
              <w:rPr>
                <w:rFonts w:asciiTheme="majorBidi" w:hAnsiTheme="majorBidi" w:cstheme="majorBidi"/>
                <w:noProof/>
                <w:sz w:val="22"/>
                <w:szCs w:val="22"/>
                <w:lang w:val="en-GB" w:eastAsia="en-GB"/>
              </w:rPr>
              <w:t xml:space="preserve"> Plus</w:t>
            </w:r>
            <w:r w:rsidR="00A85807" w:rsidRPr="00A85807">
              <w:rPr>
                <w:rFonts w:asciiTheme="majorBidi" w:hAnsiTheme="majorBidi" w:cstheme="majorBidi"/>
                <w:noProof/>
                <w:sz w:val="22"/>
                <w:szCs w:val="22"/>
                <w:lang w:val="en-GB" w:eastAsia="en-GB"/>
              </w:rPr>
              <w:t>)</w:t>
            </w:r>
            <w:r>
              <w:rPr>
                <w:rFonts w:asciiTheme="majorBidi" w:hAnsiTheme="majorBidi" w:cstheme="majorBidi"/>
                <w:noProof/>
                <w:sz w:val="22"/>
                <w:szCs w:val="22"/>
                <w:lang w:val="en-GB" w:eastAsia="en-GB"/>
              </w:rPr>
              <w:t xml:space="preserve"> </w:t>
            </w:r>
            <w:r w:rsidRPr="00747474">
              <w:rPr>
                <w:rFonts w:asciiTheme="majorBidi" w:hAnsiTheme="majorBidi" w:cstheme="majorBidi"/>
                <w:noProof/>
                <w:sz w:val="22"/>
                <w:szCs w:val="22"/>
                <w:lang w:val="en-GB" w:eastAsia="en-GB"/>
              </w:rPr>
              <w:t>Futures Contract to be delivered under this contract or as specified by the Exchange:</w:t>
            </w:r>
          </w:p>
          <w:tbl>
            <w:tblPr>
              <w:tblW w:w="6196" w:type="dxa"/>
              <w:tblLayout w:type="fixed"/>
              <w:tblLook w:val="04A0" w:firstRow="1" w:lastRow="0" w:firstColumn="1" w:lastColumn="0" w:noHBand="0" w:noVBand="1"/>
            </w:tblPr>
            <w:tblGrid>
              <w:gridCol w:w="892"/>
              <w:gridCol w:w="3038"/>
              <w:gridCol w:w="2266"/>
            </w:tblGrid>
            <w:tr w:rsidR="001959AB" w:rsidRPr="00BB5973" w14:paraId="679A8DBF" w14:textId="77777777" w:rsidTr="00F603DC">
              <w:trPr>
                <w:trHeight w:val="278"/>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EA622" w14:textId="77777777" w:rsidR="001959AB" w:rsidRPr="00BB5973" w:rsidRDefault="001959AB" w:rsidP="00B83520">
                  <w:pPr>
                    <w:jc w:val="center"/>
                    <w:rPr>
                      <w:rFonts w:asciiTheme="majorBidi" w:hAnsiTheme="majorBidi" w:cstheme="majorBidi"/>
                      <w:b/>
                      <w:bCs/>
                      <w:color w:val="000000"/>
                      <w:sz w:val="20"/>
                      <w:szCs w:val="20"/>
                    </w:rPr>
                  </w:pPr>
                  <w:r w:rsidRPr="00BB5973">
                    <w:rPr>
                      <w:rFonts w:asciiTheme="majorBidi" w:hAnsiTheme="majorBidi" w:cstheme="majorBidi"/>
                      <w:b/>
                      <w:bCs/>
                      <w:color w:val="000000"/>
                      <w:sz w:val="20"/>
                      <w:szCs w:val="20"/>
                    </w:rPr>
                    <w:t>S. No.</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14:paraId="760839BE" w14:textId="77777777" w:rsidR="001959AB" w:rsidRPr="00BB5973" w:rsidRDefault="001959AB" w:rsidP="00B83520">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Quality </w:t>
                  </w:r>
                  <w:r w:rsidRPr="00BB5973">
                    <w:rPr>
                      <w:rFonts w:asciiTheme="majorBidi" w:hAnsiTheme="majorBidi" w:cstheme="majorBidi"/>
                      <w:b/>
                      <w:bCs/>
                      <w:color w:val="000000"/>
                      <w:sz w:val="20"/>
                      <w:szCs w:val="20"/>
                    </w:rPr>
                    <w:t>Specification</w:t>
                  </w:r>
                  <w:r>
                    <w:rPr>
                      <w:rFonts w:asciiTheme="majorBidi" w:hAnsiTheme="majorBidi" w:cstheme="majorBidi"/>
                      <w:b/>
                      <w:bCs/>
                      <w:color w:val="000000"/>
                      <w:sz w:val="20"/>
                      <w:szCs w:val="20"/>
                    </w:rPr>
                    <w:t>s</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349C3498" w14:textId="7FACEB9B" w:rsidR="001959AB" w:rsidRPr="00142761" w:rsidRDefault="001959AB" w:rsidP="00B83520">
                  <w:pPr>
                    <w:jc w:val="center"/>
                    <w:rPr>
                      <w:rFonts w:asciiTheme="majorBidi" w:hAnsiTheme="majorBidi" w:cstheme="majorBidi"/>
                      <w:b/>
                      <w:bCs/>
                      <w:color w:val="000000"/>
                      <w:sz w:val="20"/>
                      <w:szCs w:val="20"/>
                    </w:rPr>
                  </w:pPr>
                  <w:r w:rsidRPr="00BB5973">
                    <w:rPr>
                      <w:rFonts w:asciiTheme="majorBidi" w:hAnsiTheme="majorBidi" w:cstheme="majorBidi"/>
                      <w:b/>
                      <w:bCs/>
                      <w:color w:val="000000"/>
                      <w:sz w:val="20"/>
                      <w:szCs w:val="20"/>
                    </w:rPr>
                    <w:t xml:space="preserve">Grade </w:t>
                  </w:r>
                  <w:r w:rsidR="00A85807">
                    <w:rPr>
                      <w:rFonts w:asciiTheme="majorBidi" w:hAnsiTheme="majorBidi" w:cstheme="majorBidi"/>
                      <w:b/>
                      <w:bCs/>
                      <w:color w:val="000000"/>
                      <w:sz w:val="20"/>
                      <w:szCs w:val="20"/>
                    </w:rPr>
                    <w:t>A</w:t>
                  </w:r>
                  <w:r w:rsidR="007178FA">
                    <w:rPr>
                      <w:rFonts w:asciiTheme="majorBidi" w:hAnsiTheme="majorBidi" w:cstheme="majorBidi"/>
                      <w:b/>
                      <w:bCs/>
                      <w:color w:val="000000"/>
                      <w:sz w:val="20"/>
                      <w:szCs w:val="20"/>
                    </w:rPr>
                    <w:t xml:space="preserve"> Plus</w:t>
                  </w:r>
                </w:p>
              </w:tc>
            </w:tr>
            <w:tr w:rsidR="00F603DC" w:rsidRPr="00BB5973" w14:paraId="73458FBF" w14:textId="77777777" w:rsidTr="00F603DC">
              <w:trPr>
                <w:trHeight w:val="170"/>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F3CD31F"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w:t>
                  </w:r>
                </w:p>
              </w:tc>
              <w:tc>
                <w:tcPr>
                  <w:tcW w:w="3038" w:type="dxa"/>
                  <w:tcBorders>
                    <w:top w:val="nil"/>
                    <w:left w:val="nil"/>
                    <w:bottom w:val="single" w:sz="4" w:space="0" w:color="auto"/>
                    <w:right w:val="single" w:sz="4" w:space="0" w:color="auto"/>
                  </w:tcBorders>
                  <w:shd w:val="clear" w:color="auto" w:fill="auto"/>
                  <w:vAlign w:val="center"/>
                  <w:hideMark/>
                </w:tcPr>
                <w:p w14:paraId="4B7C13F8" w14:textId="3CF615AB"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Variety</w:t>
                  </w:r>
                </w:p>
              </w:tc>
              <w:tc>
                <w:tcPr>
                  <w:tcW w:w="2266" w:type="dxa"/>
                  <w:tcBorders>
                    <w:top w:val="nil"/>
                    <w:left w:val="nil"/>
                    <w:bottom w:val="single" w:sz="4" w:space="0" w:color="auto"/>
                    <w:right w:val="single" w:sz="4" w:space="0" w:color="auto"/>
                  </w:tcBorders>
                  <w:shd w:val="clear" w:color="auto" w:fill="auto"/>
                  <w:vAlign w:val="center"/>
                  <w:hideMark/>
                </w:tcPr>
                <w:p w14:paraId="7216E469" w14:textId="2437B29F"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Basmati Kainat 1121</w:t>
                  </w:r>
                </w:p>
              </w:tc>
            </w:tr>
            <w:tr w:rsidR="00F603DC" w:rsidRPr="00BB5973" w14:paraId="055EF581"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4EA8791D"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2</w:t>
                  </w:r>
                </w:p>
              </w:tc>
              <w:tc>
                <w:tcPr>
                  <w:tcW w:w="3038" w:type="dxa"/>
                  <w:tcBorders>
                    <w:top w:val="nil"/>
                    <w:left w:val="nil"/>
                    <w:bottom w:val="single" w:sz="4" w:space="0" w:color="auto"/>
                    <w:right w:val="single" w:sz="4" w:space="0" w:color="auto"/>
                  </w:tcBorders>
                  <w:shd w:val="clear" w:color="auto" w:fill="auto"/>
                  <w:vAlign w:val="center"/>
                  <w:hideMark/>
                </w:tcPr>
                <w:p w14:paraId="303B2893" w14:textId="6069889C"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Type</w:t>
                  </w:r>
                </w:p>
              </w:tc>
              <w:tc>
                <w:tcPr>
                  <w:tcW w:w="2266" w:type="dxa"/>
                  <w:tcBorders>
                    <w:top w:val="nil"/>
                    <w:left w:val="nil"/>
                    <w:bottom w:val="single" w:sz="4" w:space="0" w:color="auto"/>
                    <w:right w:val="single" w:sz="4" w:space="0" w:color="auto"/>
                  </w:tcBorders>
                  <w:shd w:val="clear" w:color="auto" w:fill="auto"/>
                  <w:vAlign w:val="center"/>
                  <w:hideMark/>
                </w:tcPr>
                <w:p w14:paraId="68905D7A" w14:textId="44860969"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Extra Long Grain</w:t>
                  </w:r>
                </w:p>
              </w:tc>
            </w:tr>
            <w:tr w:rsidR="00F603DC" w:rsidRPr="00BB5973" w14:paraId="17C3E318"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6FD03B9"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3</w:t>
                  </w:r>
                </w:p>
              </w:tc>
              <w:tc>
                <w:tcPr>
                  <w:tcW w:w="3038" w:type="dxa"/>
                  <w:tcBorders>
                    <w:top w:val="nil"/>
                    <w:left w:val="nil"/>
                    <w:bottom w:val="single" w:sz="4" w:space="0" w:color="auto"/>
                    <w:right w:val="single" w:sz="4" w:space="0" w:color="auto"/>
                  </w:tcBorders>
                  <w:shd w:val="clear" w:color="auto" w:fill="auto"/>
                  <w:vAlign w:val="center"/>
                  <w:hideMark/>
                </w:tcPr>
                <w:p w14:paraId="538489FA" w14:textId="711A145B"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Moisture</w:t>
                  </w:r>
                </w:p>
              </w:tc>
              <w:tc>
                <w:tcPr>
                  <w:tcW w:w="2266" w:type="dxa"/>
                  <w:tcBorders>
                    <w:top w:val="nil"/>
                    <w:left w:val="nil"/>
                    <w:bottom w:val="single" w:sz="4" w:space="0" w:color="auto"/>
                    <w:right w:val="single" w:sz="4" w:space="0" w:color="auto"/>
                  </w:tcBorders>
                  <w:shd w:val="clear" w:color="auto" w:fill="auto"/>
                  <w:vAlign w:val="center"/>
                  <w:hideMark/>
                </w:tcPr>
                <w:p w14:paraId="1EAE1763" w14:textId="2D43F3D2"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14 % Max</w:t>
                  </w:r>
                </w:p>
              </w:tc>
            </w:tr>
            <w:tr w:rsidR="00F603DC" w:rsidRPr="00BB5973" w14:paraId="3F7C2150"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50EBD70D"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4</w:t>
                  </w:r>
                </w:p>
              </w:tc>
              <w:tc>
                <w:tcPr>
                  <w:tcW w:w="3038" w:type="dxa"/>
                  <w:tcBorders>
                    <w:top w:val="nil"/>
                    <w:left w:val="nil"/>
                    <w:bottom w:val="single" w:sz="4" w:space="0" w:color="auto"/>
                    <w:right w:val="single" w:sz="4" w:space="0" w:color="auto"/>
                  </w:tcBorders>
                  <w:shd w:val="clear" w:color="auto" w:fill="auto"/>
                  <w:vAlign w:val="center"/>
                  <w:hideMark/>
                </w:tcPr>
                <w:p w14:paraId="02A5E492" w14:textId="3448BC33" w:rsidR="00F603DC" w:rsidRPr="00BB5973" w:rsidRDefault="001C5206"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Ungelatinized</w:t>
                  </w:r>
                  <w:r w:rsidR="00F603DC" w:rsidRPr="00F603DC">
                    <w:rPr>
                      <w:rFonts w:asciiTheme="majorBidi" w:hAnsiTheme="majorBidi" w:cstheme="majorBidi"/>
                      <w:color w:val="000000"/>
                      <w:sz w:val="20"/>
                      <w:szCs w:val="20"/>
                    </w:rPr>
                    <w:t xml:space="preserve"> Grains</w:t>
                  </w:r>
                </w:p>
              </w:tc>
              <w:tc>
                <w:tcPr>
                  <w:tcW w:w="2266" w:type="dxa"/>
                  <w:tcBorders>
                    <w:top w:val="nil"/>
                    <w:left w:val="nil"/>
                    <w:bottom w:val="single" w:sz="4" w:space="0" w:color="auto"/>
                    <w:right w:val="single" w:sz="4" w:space="0" w:color="auto"/>
                  </w:tcBorders>
                  <w:shd w:val="clear" w:color="auto" w:fill="auto"/>
                  <w:vAlign w:val="center"/>
                  <w:hideMark/>
                </w:tcPr>
                <w:p w14:paraId="313E5629" w14:textId="0F6060F1"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3% Max</w:t>
                  </w:r>
                </w:p>
              </w:tc>
            </w:tr>
            <w:tr w:rsidR="00F603DC" w:rsidRPr="00BB5973" w14:paraId="0141CD62"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1816D04F"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5</w:t>
                  </w:r>
                </w:p>
              </w:tc>
              <w:tc>
                <w:tcPr>
                  <w:tcW w:w="3038" w:type="dxa"/>
                  <w:tcBorders>
                    <w:top w:val="nil"/>
                    <w:left w:val="nil"/>
                    <w:bottom w:val="single" w:sz="4" w:space="0" w:color="auto"/>
                    <w:right w:val="single" w:sz="4" w:space="0" w:color="auto"/>
                  </w:tcBorders>
                  <w:shd w:val="clear" w:color="auto" w:fill="auto"/>
                  <w:vAlign w:val="center"/>
                  <w:hideMark/>
                </w:tcPr>
                <w:p w14:paraId="3E421CCC" w14:textId="4FC00502"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 xml:space="preserve">Under-milled &amp; Red Stripped </w:t>
                  </w:r>
                </w:p>
              </w:tc>
              <w:tc>
                <w:tcPr>
                  <w:tcW w:w="2266" w:type="dxa"/>
                  <w:tcBorders>
                    <w:top w:val="nil"/>
                    <w:left w:val="nil"/>
                    <w:bottom w:val="single" w:sz="4" w:space="0" w:color="auto"/>
                    <w:right w:val="single" w:sz="4" w:space="0" w:color="auto"/>
                  </w:tcBorders>
                  <w:shd w:val="clear" w:color="auto" w:fill="auto"/>
                  <w:vAlign w:val="center"/>
                  <w:hideMark/>
                </w:tcPr>
                <w:p w14:paraId="09579D7F" w14:textId="1391F445"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5% Max</w:t>
                  </w:r>
                </w:p>
              </w:tc>
            </w:tr>
            <w:tr w:rsidR="00F603DC" w:rsidRPr="00BB5973" w14:paraId="407B3842"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5470DD93"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6</w:t>
                  </w:r>
                </w:p>
              </w:tc>
              <w:tc>
                <w:tcPr>
                  <w:tcW w:w="3038" w:type="dxa"/>
                  <w:tcBorders>
                    <w:top w:val="nil"/>
                    <w:left w:val="nil"/>
                    <w:bottom w:val="single" w:sz="4" w:space="0" w:color="auto"/>
                    <w:right w:val="single" w:sz="4" w:space="0" w:color="auto"/>
                  </w:tcBorders>
                  <w:shd w:val="clear" w:color="auto" w:fill="auto"/>
                  <w:vAlign w:val="center"/>
                  <w:hideMark/>
                </w:tcPr>
                <w:p w14:paraId="08F13A5B" w14:textId="7D3CEB71"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 xml:space="preserve">Damaged &amp; </w:t>
                  </w:r>
                  <w:r w:rsidR="001C5206" w:rsidRPr="00F603DC">
                    <w:rPr>
                      <w:rFonts w:asciiTheme="majorBidi" w:hAnsiTheme="majorBidi" w:cstheme="majorBidi"/>
                      <w:color w:val="000000"/>
                      <w:sz w:val="20"/>
                      <w:szCs w:val="20"/>
                    </w:rPr>
                    <w:t>Discolored</w:t>
                  </w:r>
                  <w:r w:rsidRPr="00F603DC">
                    <w:rPr>
                      <w:rFonts w:asciiTheme="majorBidi" w:hAnsiTheme="majorBidi" w:cstheme="majorBidi"/>
                      <w:color w:val="000000"/>
                      <w:sz w:val="20"/>
                      <w:szCs w:val="20"/>
                    </w:rPr>
                    <w:t xml:space="preserve"> Grains</w:t>
                  </w:r>
                </w:p>
              </w:tc>
              <w:tc>
                <w:tcPr>
                  <w:tcW w:w="2266" w:type="dxa"/>
                  <w:tcBorders>
                    <w:top w:val="nil"/>
                    <w:left w:val="nil"/>
                    <w:bottom w:val="single" w:sz="4" w:space="0" w:color="auto"/>
                    <w:right w:val="single" w:sz="4" w:space="0" w:color="auto"/>
                  </w:tcBorders>
                  <w:shd w:val="clear" w:color="auto" w:fill="auto"/>
                  <w:vAlign w:val="center"/>
                  <w:hideMark/>
                </w:tcPr>
                <w:p w14:paraId="29586DDB" w14:textId="0BA43A8C"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2% Max</w:t>
                  </w:r>
                </w:p>
              </w:tc>
            </w:tr>
            <w:tr w:rsidR="00F603DC" w:rsidRPr="00BB5973" w14:paraId="7B73E631"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522A23AD"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7</w:t>
                  </w:r>
                </w:p>
              </w:tc>
              <w:tc>
                <w:tcPr>
                  <w:tcW w:w="3038" w:type="dxa"/>
                  <w:tcBorders>
                    <w:top w:val="nil"/>
                    <w:left w:val="nil"/>
                    <w:bottom w:val="single" w:sz="4" w:space="0" w:color="auto"/>
                    <w:right w:val="single" w:sz="4" w:space="0" w:color="auto"/>
                  </w:tcBorders>
                  <w:shd w:val="clear" w:color="auto" w:fill="auto"/>
                  <w:vAlign w:val="center"/>
                  <w:hideMark/>
                </w:tcPr>
                <w:p w14:paraId="35A78CAC" w14:textId="16AAA7FB"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Broken Grains (below ¾ grain length)</w:t>
                  </w:r>
                </w:p>
              </w:tc>
              <w:tc>
                <w:tcPr>
                  <w:tcW w:w="2266" w:type="dxa"/>
                  <w:tcBorders>
                    <w:top w:val="nil"/>
                    <w:left w:val="nil"/>
                    <w:bottom w:val="single" w:sz="4" w:space="0" w:color="auto"/>
                    <w:right w:val="single" w:sz="4" w:space="0" w:color="auto"/>
                  </w:tcBorders>
                  <w:shd w:val="clear" w:color="auto" w:fill="auto"/>
                  <w:vAlign w:val="center"/>
                  <w:hideMark/>
                </w:tcPr>
                <w:p w14:paraId="77CC80BE" w14:textId="1F43B109"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5% Max</w:t>
                  </w:r>
                </w:p>
              </w:tc>
            </w:tr>
            <w:tr w:rsidR="00F603DC" w:rsidRPr="00BB5973" w14:paraId="2586276B"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852D8AB"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8</w:t>
                  </w:r>
                </w:p>
              </w:tc>
              <w:tc>
                <w:tcPr>
                  <w:tcW w:w="3038" w:type="dxa"/>
                  <w:tcBorders>
                    <w:top w:val="nil"/>
                    <w:left w:val="nil"/>
                    <w:bottom w:val="single" w:sz="4" w:space="0" w:color="auto"/>
                    <w:right w:val="single" w:sz="4" w:space="0" w:color="auto"/>
                  </w:tcBorders>
                  <w:shd w:val="clear" w:color="auto" w:fill="auto"/>
                  <w:vAlign w:val="center"/>
                  <w:hideMark/>
                </w:tcPr>
                <w:p w14:paraId="0D4EDD22" w14:textId="094B2ACC" w:rsidR="00F603DC" w:rsidRPr="00BB5973" w:rsidRDefault="001C5206"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Shriveled</w:t>
                  </w:r>
                  <w:r w:rsidR="00F603DC" w:rsidRPr="00F603DC">
                    <w:rPr>
                      <w:rFonts w:asciiTheme="majorBidi" w:hAnsiTheme="majorBidi" w:cstheme="majorBidi"/>
                      <w:color w:val="000000"/>
                      <w:sz w:val="20"/>
                      <w:szCs w:val="20"/>
                    </w:rPr>
                    <w:t xml:space="preserve"> Grains</w:t>
                  </w:r>
                </w:p>
              </w:tc>
              <w:tc>
                <w:tcPr>
                  <w:tcW w:w="2266" w:type="dxa"/>
                  <w:tcBorders>
                    <w:top w:val="nil"/>
                    <w:left w:val="nil"/>
                    <w:bottom w:val="single" w:sz="4" w:space="0" w:color="auto"/>
                    <w:right w:val="single" w:sz="4" w:space="0" w:color="auto"/>
                  </w:tcBorders>
                  <w:shd w:val="clear" w:color="auto" w:fill="auto"/>
                  <w:vAlign w:val="center"/>
                  <w:hideMark/>
                </w:tcPr>
                <w:p w14:paraId="25861FFE" w14:textId="1E45935D"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4% Max</w:t>
                  </w:r>
                </w:p>
              </w:tc>
            </w:tr>
            <w:tr w:rsidR="00F603DC" w:rsidRPr="00BB5973" w14:paraId="3165DE55"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6A30D0A"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9</w:t>
                  </w:r>
                </w:p>
              </w:tc>
              <w:tc>
                <w:tcPr>
                  <w:tcW w:w="3038" w:type="dxa"/>
                  <w:tcBorders>
                    <w:top w:val="nil"/>
                    <w:left w:val="nil"/>
                    <w:bottom w:val="single" w:sz="4" w:space="0" w:color="auto"/>
                    <w:right w:val="single" w:sz="4" w:space="0" w:color="auto"/>
                  </w:tcBorders>
                  <w:shd w:val="clear" w:color="auto" w:fill="auto"/>
                  <w:vAlign w:val="center"/>
                  <w:hideMark/>
                </w:tcPr>
                <w:p w14:paraId="5837F1F4" w14:textId="68BCC36B"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Contrasting Varieties</w:t>
                  </w:r>
                </w:p>
              </w:tc>
              <w:tc>
                <w:tcPr>
                  <w:tcW w:w="2266" w:type="dxa"/>
                  <w:tcBorders>
                    <w:top w:val="nil"/>
                    <w:left w:val="nil"/>
                    <w:bottom w:val="single" w:sz="4" w:space="0" w:color="auto"/>
                    <w:right w:val="single" w:sz="4" w:space="0" w:color="auto"/>
                  </w:tcBorders>
                  <w:shd w:val="clear" w:color="auto" w:fill="auto"/>
                  <w:vAlign w:val="center"/>
                  <w:hideMark/>
                </w:tcPr>
                <w:p w14:paraId="7549F5C1" w14:textId="3C2B1AD2"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5% Max</w:t>
                  </w:r>
                </w:p>
              </w:tc>
            </w:tr>
            <w:tr w:rsidR="00F603DC" w:rsidRPr="00BB5973" w14:paraId="374AB33B"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C0F280A"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10</w:t>
                  </w:r>
                </w:p>
              </w:tc>
              <w:tc>
                <w:tcPr>
                  <w:tcW w:w="3038" w:type="dxa"/>
                  <w:tcBorders>
                    <w:top w:val="nil"/>
                    <w:left w:val="nil"/>
                    <w:bottom w:val="single" w:sz="4" w:space="0" w:color="auto"/>
                    <w:right w:val="single" w:sz="4" w:space="0" w:color="auto"/>
                  </w:tcBorders>
                  <w:shd w:val="clear" w:color="auto" w:fill="auto"/>
                  <w:vAlign w:val="center"/>
                  <w:hideMark/>
                </w:tcPr>
                <w:p w14:paraId="5C7FD435" w14:textId="5923CA50"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Foreign Matter</w:t>
                  </w:r>
                </w:p>
              </w:tc>
              <w:tc>
                <w:tcPr>
                  <w:tcW w:w="2266" w:type="dxa"/>
                  <w:tcBorders>
                    <w:top w:val="nil"/>
                    <w:left w:val="nil"/>
                    <w:bottom w:val="single" w:sz="4" w:space="0" w:color="auto"/>
                    <w:right w:val="single" w:sz="4" w:space="0" w:color="auto"/>
                  </w:tcBorders>
                  <w:shd w:val="clear" w:color="auto" w:fill="auto"/>
                  <w:vAlign w:val="center"/>
                  <w:hideMark/>
                </w:tcPr>
                <w:p w14:paraId="2EFCE785" w14:textId="01029E76"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0.5% Max</w:t>
                  </w:r>
                </w:p>
              </w:tc>
            </w:tr>
            <w:tr w:rsidR="00F603DC" w:rsidRPr="00BB5973" w14:paraId="120681BA" w14:textId="77777777" w:rsidTr="00B83520">
              <w:trPr>
                <w:trHeight w:val="517"/>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47CAB713"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11</w:t>
                  </w:r>
                </w:p>
              </w:tc>
              <w:tc>
                <w:tcPr>
                  <w:tcW w:w="3038" w:type="dxa"/>
                  <w:tcBorders>
                    <w:top w:val="nil"/>
                    <w:left w:val="nil"/>
                    <w:bottom w:val="single" w:sz="4" w:space="0" w:color="auto"/>
                    <w:right w:val="single" w:sz="4" w:space="0" w:color="auto"/>
                  </w:tcBorders>
                  <w:shd w:val="clear" w:color="auto" w:fill="auto"/>
                  <w:vAlign w:val="center"/>
                  <w:hideMark/>
                </w:tcPr>
                <w:p w14:paraId="46DE292C" w14:textId="46A71460"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Paddy Grains</w:t>
                  </w:r>
                </w:p>
              </w:tc>
              <w:tc>
                <w:tcPr>
                  <w:tcW w:w="2266" w:type="dxa"/>
                  <w:tcBorders>
                    <w:top w:val="nil"/>
                    <w:left w:val="nil"/>
                    <w:bottom w:val="single" w:sz="4" w:space="0" w:color="auto"/>
                    <w:right w:val="single" w:sz="4" w:space="0" w:color="auto"/>
                  </w:tcBorders>
                  <w:shd w:val="clear" w:color="auto" w:fill="auto"/>
                  <w:vAlign w:val="center"/>
                  <w:hideMark/>
                </w:tcPr>
                <w:p w14:paraId="53DE4B95" w14:textId="149FDB6B"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0.3 % Max</w:t>
                  </w:r>
                </w:p>
              </w:tc>
            </w:tr>
            <w:tr w:rsidR="00F603DC" w:rsidRPr="00BB5973" w14:paraId="74741660"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1EAB73F2"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12</w:t>
                  </w:r>
                </w:p>
              </w:tc>
              <w:tc>
                <w:tcPr>
                  <w:tcW w:w="3038" w:type="dxa"/>
                  <w:tcBorders>
                    <w:top w:val="nil"/>
                    <w:left w:val="nil"/>
                    <w:bottom w:val="single" w:sz="4" w:space="0" w:color="auto"/>
                    <w:right w:val="single" w:sz="4" w:space="0" w:color="auto"/>
                  </w:tcBorders>
                  <w:shd w:val="clear" w:color="auto" w:fill="auto"/>
                  <w:vAlign w:val="center"/>
                  <w:hideMark/>
                </w:tcPr>
                <w:p w14:paraId="328BC74F" w14:textId="215A76CE"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Average Grain Length</w:t>
                  </w:r>
                  <w:r w:rsidR="007178FA">
                    <w:rPr>
                      <w:rFonts w:asciiTheme="majorBidi" w:hAnsiTheme="majorBidi" w:cstheme="majorBidi"/>
                      <w:color w:val="000000"/>
                      <w:sz w:val="20"/>
                      <w:szCs w:val="20"/>
                    </w:rPr>
                    <w:t>*</w:t>
                  </w:r>
                </w:p>
              </w:tc>
              <w:tc>
                <w:tcPr>
                  <w:tcW w:w="2266" w:type="dxa"/>
                  <w:tcBorders>
                    <w:top w:val="nil"/>
                    <w:left w:val="nil"/>
                    <w:bottom w:val="single" w:sz="4" w:space="0" w:color="auto"/>
                    <w:right w:val="single" w:sz="4" w:space="0" w:color="auto"/>
                  </w:tcBorders>
                  <w:shd w:val="clear" w:color="auto" w:fill="auto"/>
                  <w:vAlign w:val="center"/>
                  <w:hideMark/>
                </w:tcPr>
                <w:p w14:paraId="3769E49C" w14:textId="143A7300"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8.</w:t>
                  </w:r>
                  <w:r w:rsidR="007178FA">
                    <w:rPr>
                      <w:rFonts w:asciiTheme="majorBidi" w:hAnsiTheme="majorBidi" w:cstheme="majorBidi"/>
                      <w:color w:val="000000"/>
                      <w:sz w:val="20"/>
                      <w:szCs w:val="20"/>
                    </w:rPr>
                    <w:t>2</w:t>
                  </w:r>
                  <w:r w:rsidRPr="00F603DC">
                    <w:rPr>
                      <w:rFonts w:asciiTheme="majorBidi" w:hAnsiTheme="majorBidi" w:cstheme="majorBidi"/>
                      <w:color w:val="000000"/>
                      <w:sz w:val="20"/>
                      <w:szCs w:val="20"/>
                    </w:rPr>
                    <w:t xml:space="preserve"> MM</w:t>
                  </w:r>
                </w:p>
              </w:tc>
            </w:tr>
            <w:tr w:rsidR="00F603DC" w:rsidRPr="00BB5973" w14:paraId="65099C48"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48B5BAF"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13</w:t>
                  </w:r>
                </w:p>
              </w:tc>
              <w:tc>
                <w:tcPr>
                  <w:tcW w:w="3038" w:type="dxa"/>
                  <w:tcBorders>
                    <w:top w:val="nil"/>
                    <w:left w:val="nil"/>
                    <w:bottom w:val="single" w:sz="4" w:space="0" w:color="auto"/>
                    <w:right w:val="single" w:sz="4" w:space="0" w:color="auto"/>
                  </w:tcBorders>
                  <w:shd w:val="clear" w:color="auto" w:fill="auto"/>
                  <w:vAlign w:val="center"/>
                  <w:hideMark/>
                </w:tcPr>
                <w:p w14:paraId="11491754" w14:textId="21FCC5D0"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Milling Grades</w:t>
                  </w:r>
                </w:p>
              </w:tc>
              <w:tc>
                <w:tcPr>
                  <w:tcW w:w="2266" w:type="dxa"/>
                  <w:tcBorders>
                    <w:top w:val="nil"/>
                    <w:left w:val="nil"/>
                    <w:bottom w:val="single" w:sz="4" w:space="0" w:color="auto"/>
                    <w:right w:val="single" w:sz="4" w:space="0" w:color="auto"/>
                  </w:tcBorders>
                  <w:shd w:val="clear" w:color="auto" w:fill="auto"/>
                  <w:vAlign w:val="center"/>
                  <w:hideMark/>
                </w:tcPr>
                <w:p w14:paraId="3C10A152" w14:textId="5CB3BD34"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Reasonably Well Milled</w:t>
                  </w:r>
                </w:p>
              </w:tc>
            </w:tr>
            <w:tr w:rsidR="00F603DC" w:rsidRPr="00BB5973" w14:paraId="79006DBC" w14:textId="77777777" w:rsidTr="00B83520">
              <w:trPr>
                <w:trHeight w:val="517"/>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3CBD59A9" w14:textId="77777777" w:rsidR="00F603DC" w:rsidRPr="00BB5973" w:rsidRDefault="00F603DC" w:rsidP="00F603DC">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14</w:t>
                  </w:r>
                </w:p>
              </w:tc>
              <w:tc>
                <w:tcPr>
                  <w:tcW w:w="3038" w:type="dxa"/>
                  <w:tcBorders>
                    <w:top w:val="nil"/>
                    <w:left w:val="nil"/>
                    <w:bottom w:val="single" w:sz="4" w:space="0" w:color="auto"/>
                    <w:right w:val="single" w:sz="4" w:space="0" w:color="auto"/>
                  </w:tcBorders>
                  <w:shd w:val="clear" w:color="auto" w:fill="auto"/>
                  <w:vAlign w:val="center"/>
                  <w:hideMark/>
                </w:tcPr>
                <w:p w14:paraId="47258AA0" w14:textId="47FC9EE7"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Infestation</w:t>
                  </w:r>
                </w:p>
              </w:tc>
              <w:tc>
                <w:tcPr>
                  <w:tcW w:w="2266" w:type="dxa"/>
                  <w:tcBorders>
                    <w:top w:val="nil"/>
                    <w:left w:val="nil"/>
                    <w:bottom w:val="single" w:sz="4" w:space="0" w:color="auto"/>
                    <w:right w:val="single" w:sz="4" w:space="0" w:color="auto"/>
                  </w:tcBorders>
                  <w:shd w:val="clear" w:color="auto" w:fill="auto"/>
                  <w:vAlign w:val="center"/>
                  <w:hideMark/>
                </w:tcPr>
                <w:p w14:paraId="0643FAFD" w14:textId="03970EDB" w:rsidR="00F603DC" w:rsidRPr="00BB5973" w:rsidRDefault="00F603DC" w:rsidP="00F603DC">
                  <w:pPr>
                    <w:jc w:val="center"/>
                    <w:rPr>
                      <w:rFonts w:asciiTheme="majorBidi" w:hAnsiTheme="majorBidi" w:cstheme="majorBidi"/>
                      <w:color w:val="000000"/>
                      <w:sz w:val="20"/>
                      <w:szCs w:val="20"/>
                    </w:rPr>
                  </w:pPr>
                  <w:r w:rsidRPr="00F603DC">
                    <w:rPr>
                      <w:rFonts w:asciiTheme="majorBidi" w:hAnsiTheme="majorBidi" w:cstheme="majorBidi"/>
                      <w:color w:val="000000"/>
                      <w:sz w:val="20"/>
                      <w:szCs w:val="20"/>
                    </w:rPr>
                    <w:t>Free from live insects/weevils</w:t>
                  </w:r>
                </w:p>
              </w:tc>
            </w:tr>
          </w:tbl>
          <w:p w14:paraId="207EBD7C" w14:textId="77777777" w:rsidR="001959AB" w:rsidRPr="00747474" w:rsidRDefault="001959AB" w:rsidP="00B83520">
            <w:pPr>
              <w:jc w:val="both"/>
              <w:rPr>
                <w:rFonts w:asciiTheme="majorBidi" w:hAnsiTheme="majorBidi" w:cstheme="majorBidi"/>
                <w:noProof/>
                <w:sz w:val="22"/>
                <w:szCs w:val="22"/>
                <w:lang w:val="en-GB" w:eastAsia="en-GB"/>
              </w:rPr>
            </w:pPr>
          </w:p>
          <w:p w14:paraId="3937FF03" w14:textId="0CE766DE" w:rsidR="001959AB" w:rsidRPr="00747474" w:rsidRDefault="007178FA" w:rsidP="00B83520">
            <w:pPr>
              <w:jc w:val="both"/>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8.2 MM and above</w:t>
            </w:r>
          </w:p>
        </w:tc>
      </w:tr>
      <w:tr w:rsidR="001959AB" w:rsidRPr="00747474" w14:paraId="6A06C042" w14:textId="77777777" w:rsidTr="00B83520">
        <w:trPr>
          <w:trHeight w:val="440"/>
        </w:trPr>
        <w:tc>
          <w:tcPr>
            <w:tcW w:w="492" w:type="dxa"/>
            <w:vAlign w:val="center"/>
          </w:tcPr>
          <w:p w14:paraId="6A8D9167"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22</w:t>
            </w:r>
          </w:p>
        </w:tc>
        <w:tc>
          <w:tcPr>
            <w:tcW w:w="2275" w:type="dxa"/>
            <w:vAlign w:val="center"/>
          </w:tcPr>
          <w:p w14:paraId="541007B7"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Position Limit</w:t>
            </w:r>
          </w:p>
        </w:tc>
        <w:tc>
          <w:tcPr>
            <w:tcW w:w="6570" w:type="dxa"/>
            <w:vAlign w:val="center"/>
          </w:tcPr>
          <w:p w14:paraId="0604D585" w14:textId="77777777" w:rsidR="001959AB" w:rsidRDefault="001959AB" w:rsidP="00B83520">
            <w:pPr>
              <w:jc w:val="both"/>
              <w:rPr>
                <w:rFonts w:asciiTheme="majorBidi" w:hAnsiTheme="majorBidi" w:cstheme="majorBidi"/>
                <w:color w:val="000000"/>
                <w:sz w:val="22"/>
                <w:szCs w:val="22"/>
              </w:rPr>
            </w:pPr>
          </w:p>
          <w:tbl>
            <w:tblPr>
              <w:tblW w:w="6156" w:type="dxa"/>
              <w:tblLayout w:type="fixed"/>
              <w:tblLook w:val="04A0" w:firstRow="1" w:lastRow="0" w:firstColumn="1" w:lastColumn="0" w:noHBand="0" w:noVBand="1"/>
            </w:tblPr>
            <w:tblGrid>
              <w:gridCol w:w="2059"/>
              <w:gridCol w:w="2124"/>
              <w:gridCol w:w="1973"/>
            </w:tblGrid>
            <w:tr w:rsidR="001959AB" w:rsidRPr="00D140E1" w14:paraId="70EA644C" w14:textId="77777777" w:rsidTr="00C513B5">
              <w:trPr>
                <w:trHeight w:val="267"/>
              </w:trPr>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00139" w14:textId="77777777" w:rsidR="001959AB" w:rsidRPr="00D140E1" w:rsidRDefault="001959AB" w:rsidP="00B83520">
                  <w:pPr>
                    <w:rPr>
                      <w:color w:val="000000"/>
                      <w:sz w:val="20"/>
                      <w:szCs w:val="20"/>
                    </w:rPr>
                  </w:pPr>
                  <w:r w:rsidRPr="00D140E1">
                    <w:rPr>
                      <w:color w:val="000000"/>
                      <w:sz w:val="20"/>
                      <w:szCs w:val="20"/>
                    </w:rPr>
                    <w:t> </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03BB9A23" w14:textId="77777777" w:rsidR="001959AB" w:rsidRPr="00D140E1" w:rsidRDefault="001959AB" w:rsidP="00B83520">
                  <w:pPr>
                    <w:jc w:val="center"/>
                    <w:rPr>
                      <w:b/>
                      <w:bCs/>
                      <w:color w:val="000000"/>
                      <w:sz w:val="20"/>
                      <w:szCs w:val="20"/>
                    </w:rPr>
                  </w:pPr>
                  <w:r w:rsidRPr="00D140E1">
                    <w:rPr>
                      <w:b/>
                      <w:bCs/>
                      <w:color w:val="000000"/>
                      <w:sz w:val="20"/>
                      <w:szCs w:val="20"/>
                    </w:rPr>
                    <w:t>Broker Limit</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14:paraId="4F14ED8F" w14:textId="77777777" w:rsidR="001959AB" w:rsidRPr="00D140E1" w:rsidRDefault="001959AB" w:rsidP="00B83520">
                  <w:pPr>
                    <w:jc w:val="center"/>
                    <w:rPr>
                      <w:b/>
                      <w:bCs/>
                      <w:color w:val="000000"/>
                      <w:sz w:val="20"/>
                      <w:szCs w:val="20"/>
                    </w:rPr>
                  </w:pPr>
                  <w:r w:rsidRPr="00D140E1">
                    <w:rPr>
                      <w:b/>
                      <w:bCs/>
                      <w:color w:val="000000"/>
                      <w:sz w:val="20"/>
                      <w:szCs w:val="20"/>
                    </w:rPr>
                    <w:t>Per Client Limit is 10% Broker Limit</w:t>
                  </w:r>
                </w:p>
              </w:tc>
            </w:tr>
            <w:tr w:rsidR="001959AB" w:rsidRPr="00D140E1" w14:paraId="5E9EB4B8" w14:textId="77777777" w:rsidTr="00C513B5">
              <w:trPr>
                <w:trHeight w:val="267"/>
              </w:trPr>
              <w:tc>
                <w:tcPr>
                  <w:tcW w:w="2059" w:type="dxa"/>
                  <w:tcBorders>
                    <w:top w:val="nil"/>
                    <w:left w:val="single" w:sz="4" w:space="0" w:color="auto"/>
                    <w:bottom w:val="single" w:sz="4" w:space="0" w:color="auto"/>
                    <w:right w:val="single" w:sz="4" w:space="0" w:color="auto"/>
                  </w:tcBorders>
                  <w:shd w:val="clear" w:color="auto" w:fill="auto"/>
                  <w:noWrap/>
                  <w:vAlign w:val="bottom"/>
                  <w:hideMark/>
                </w:tcPr>
                <w:p w14:paraId="6B16B4F6" w14:textId="77777777" w:rsidR="001959AB" w:rsidRPr="00D140E1" w:rsidRDefault="001959AB" w:rsidP="00B83520">
                  <w:pPr>
                    <w:rPr>
                      <w:color w:val="000000"/>
                      <w:sz w:val="20"/>
                      <w:szCs w:val="20"/>
                    </w:rPr>
                  </w:pPr>
                  <w:r w:rsidRPr="00D140E1">
                    <w:rPr>
                      <w:color w:val="000000"/>
                      <w:sz w:val="20"/>
                      <w:szCs w:val="20"/>
                    </w:rPr>
                    <w:t>Contract</w:t>
                  </w:r>
                </w:p>
              </w:tc>
              <w:tc>
                <w:tcPr>
                  <w:tcW w:w="2124" w:type="dxa"/>
                  <w:tcBorders>
                    <w:top w:val="nil"/>
                    <w:left w:val="nil"/>
                    <w:bottom w:val="single" w:sz="4" w:space="0" w:color="auto"/>
                    <w:right w:val="single" w:sz="4" w:space="0" w:color="auto"/>
                  </w:tcBorders>
                  <w:shd w:val="clear" w:color="auto" w:fill="auto"/>
                  <w:noWrap/>
                  <w:vAlign w:val="bottom"/>
                </w:tcPr>
                <w:p w14:paraId="61293D39" w14:textId="60D4091F" w:rsidR="001959AB" w:rsidRPr="00D140E1" w:rsidRDefault="001C5206" w:rsidP="00B83520">
                  <w:pPr>
                    <w:jc w:val="center"/>
                    <w:rPr>
                      <w:color w:val="000000"/>
                      <w:sz w:val="20"/>
                      <w:szCs w:val="20"/>
                    </w:rPr>
                  </w:pPr>
                  <w:r>
                    <w:rPr>
                      <w:color w:val="000000"/>
                      <w:sz w:val="20"/>
                      <w:szCs w:val="20"/>
                    </w:rPr>
                    <w:t>7,000</w:t>
                  </w:r>
                  <w:r w:rsidR="001959AB">
                    <w:rPr>
                      <w:color w:val="000000"/>
                      <w:sz w:val="20"/>
                      <w:szCs w:val="20"/>
                    </w:rPr>
                    <w:t xml:space="preserve"> </w:t>
                  </w:r>
                </w:p>
              </w:tc>
              <w:tc>
                <w:tcPr>
                  <w:tcW w:w="1973" w:type="dxa"/>
                  <w:tcBorders>
                    <w:top w:val="nil"/>
                    <w:left w:val="nil"/>
                    <w:bottom w:val="single" w:sz="4" w:space="0" w:color="auto"/>
                    <w:right w:val="single" w:sz="4" w:space="0" w:color="auto"/>
                  </w:tcBorders>
                  <w:shd w:val="clear" w:color="auto" w:fill="auto"/>
                  <w:noWrap/>
                  <w:vAlign w:val="bottom"/>
                </w:tcPr>
                <w:p w14:paraId="061E974A" w14:textId="7B41676C" w:rsidR="001959AB" w:rsidRPr="00D140E1" w:rsidRDefault="001C5206" w:rsidP="00B83520">
                  <w:pPr>
                    <w:jc w:val="center"/>
                    <w:rPr>
                      <w:color w:val="000000"/>
                      <w:sz w:val="20"/>
                      <w:szCs w:val="20"/>
                    </w:rPr>
                  </w:pPr>
                  <w:r>
                    <w:rPr>
                      <w:color w:val="000000"/>
                      <w:sz w:val="20"/>
                      <w:szCs w:val="20"/>
                    </w:rPr>
                    <w:t>700</w:t>
                  </w:r>
                </w:p>
              </w:tc>
            </w:tr>
            <w:tr w:rsidR="001959AB" w:rsidRPr="00D140E1" w14:paraId="5F668FF6" w14:textId="77777777" w:rsidTr="00C513B5">
              <w:trPr>
                <w:trHeight w:val="267"/>
              </w:trPr>
              <w:tc>
                <w:tcPr>
                  <w:tcW w:w="20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7D196" w14:textId="77777777" w:rsidR="001959AB" w:rsidRPr="00D140E1" w:rsidRDefault="001959AB" w:rsidP="00B83520">
                  <w:pPr>
                    <w:rPr>
                      <w:color w:val="000000"/>
                      <w:sz w:val="20"/>
                      <w:szCs w:val="20"/>
                    </w:rPr>
                  </w:pPr>
                  <w:r w:rsidRPr="00D140E1">
                    <w:rPr>
                      <w:color w:val="000000"/>
                      <w:sz w:val="20"/>
                      <w:szCs w:val="20"/>
                    </w:rPr>
                    <w:lastRenderedPageBreak/>
                    <w:t>Open Interest</w:t>
                  </w:r>
                </w:p>
              </w:tc>
              <w:tc>
                <w:tcPr>
                  <w:tcW w:w="4097" w:type="dxa"/>
                  <w:gridSpan w:val="2"/>
                  <w:tcBorders>
                    <w:top w:val="single" w:sz="4" w:space="0" w:color="auto"/>
                    <w:left w:val="nil"/>
                    <w:bottom w:val="single" w:sz="4" w:space="0" w:color="auto"/>
                    <w:right w:val="single" w:sz="4" w:space="0" w:color="000000"/>
                  </w:tcBorders>
                  <w:shd w:val="clear" w:color="auto" w:fill="auto"/>
                  <w:noWrap/>
                  <w:vAlign w:val="bottom"/>
                </w:tcPr>
                <w:p w14:paraId="3A8019B2" w14:textId="77777777" w:rsidR="001959AB" w:rsidRPr="00D140E1" w:rsidRDefault="001959AB" w:rsidP="00B83520">
                  <w:pPr>
                    <w:rPr>
                      <w:color w:val="000000"/>
                      <w:sz w:val="20"/>
                      <w:szCs w:val="20"/>
                    </w:rPr>
                  </w:pPr>
                  <w:r w:rsidRPr="00D140E1">
                    <w:rPr>
                      <w:color w:val="000000"/>
                      <w:sz w:val="20"/>
                      <w:szCs w:val="20"/>
                    </w:rPr>
                    <w:t>Greater of 10% of open interest per Broker</w:t>
                  </w:r>
                </w:p>
              </w:tc>
            </w:tr>
            <w:tr w:rsidR="001959AB" w:rsidRPr="00D140E1" w14:paraId="1815CDF9" w14:textId="77777777" w:rsidTr="00C513B5">
              <w:trPr>
                <w:trHeight w:val="267"/>
              </w:trPr>
              <w:tc>
                <w:tcPr>
                  <w:tcW w:w="2059" w:type="dxa"/>
                  <w:vMerge/>
                  <w:tcBorders>
                    <w:top w:val="nil"/>
                    <w:left w:val="single" w:sz="4" w:space="0" w:color="auto"/>
                    <w:bottom w:val="single" w:sz="4" w:space="0" w:color="auto"/>
                    <w:right w:val="single" w:sz="4" w:space="0" w:color="auto"/>
                  </w:tcBorders>
                  <w:vAlign w:val="center"/>
                  <w:hideMark/>
                </w:tcPr>
                <w:p w14:paraId="7CADC973" w14:textId="77777777" w:rsidR="001959AB" w:rsidRPr="00D140E1" w:rsidRDefault="001959AB" w:rsidP="00B83520">
                  <w:pPr>
                    <w:rPr>
                      <w:color w:val="000000"/>
                      <w:sz w:val="20"/>
                      <w:szCs w:val="20"/>
                    </w:rPr>
                  </w:pPr>
                </w:p>
              </w:tc>
              <w:tc>
                <w:tcPr>
                  <w:tcW w:w="4097" w:type="dxa"/>
                  <w:gridSpan w:val="2"/>
                  <w:tcBorders>
                    <w:top w:val="single" w:sz="4" w:space="0" w:color="auto"/>
                    <w:left w:val="nil"/>
                    <w:bottom w:val="single" w:sz="4" w:space="0" w:color="auto"/>
                    <w:right w:val="single" w:sz="4" w:space="0" w:color="000000"/>
                  </w:tcBorders>
                  <w:shd w:val="clear" w:color="auto" w:fill="auto"/>
                  <w:noWrap/>
                  <w:vAlign w:val="bottom"/>
                </w:tcPr>
                <w:p w14:paraId="32162EFF" w14:textId="77777777" w:rsidR="001959AB" w:rsidRPr="00D140E1" w:rsidRDefault="001959AB" w:rsidP="00B83520">
                  <w:pPr>
                    <w:rPr>
                      <w:color w:val="000000"/>
                      <w:sz w:val="20"/>
                      <w:szCs w:val="20"/>
                    </w:rPr>
                  </w:pPr>
                  <w:r w:rsidRPr="00D140E1">
                    <w:rPr>
                      <w:color w:val="000000"/>
                      <w:sz w:val="20"/>
                      <w:szCs w:val="20"/>
                    </w:rPr>
                    <w:t>Greater of 5% of open interest per Client</w:t>
                  </w:r>
                </w:p>
              </w:tc>
            </w:tr>
          </w:tbl>
          <w:p w14:paraId="178B7B10" w14:textId="77777777" w:rsidR="001959AB" w:rsidRDefault="001959AB" w:rsidP="00B83520">
            <w:pPr>
              <w:jc w:val="both"/>
              <w:rPr>
                <w:rFonts w:asciiTheme="majorBidi" w:hAnsiTheme="majorBidi" w:cstheme="majorBidi"/>
                <w:color w:val="000000"/>
                <w:sz w:val="22"/>
                <w:szCs w:val="22"/>
              </w:rPr>
            </w:pPr>
          </w:p>
          <w:p w14:paraId="5CFCD1BA" w14:textId="77777777" w:rsidR="001959AB" w:rsidRPr="00747474" w:rsidRDefault="001959AB" w:rsidP="00B83520">
            <w:pPr>
              <w:jc w:val="both"/>
              <w:rPr>
                <w:rFonts w:asciiTheme="majorBidi" w:hAnsiTheme="majorBidi" w:cstheme="majorBidi"/>
                <w:color w:val="000000"/>
                <w:sz w:val="22"/>
                <w:szCs w:val="22"/>
              </w:rPr>
            </w:pPr>
          </w:p>
        </w:tc>
      </w:tr>
      <w:tr w:rsidR="001959AB" w:rsidRPr="00747474" w14:paraId="2518A7BA" w14:textId="77777777" w:rsidTr="00B83520">
        <w:trPr>
          <w:trHeight w:val="602"/>
        </w:trPr>
        <w:tc>
          <w:tcPr>
            <w:tcW w:w="492" w:type="dxa"/>
            <w:vAlign w:val="center"/>
          </w:tcPr>
          <w:p w14:paraId="200A8F34"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lastRenderedPageBreak/>
              <w:t>2</w:t>
            </w:r>
            <w:r>
              <w:rPr>
                <w:rFonts w:asciiTheme="majorBidi" w:hAnsiTheme="majorBidi" w:cstheme="majorBidi"/>
                <w:sz w:val="22"/>
                <w:szCs w:val="22"/>
              </w:rPr>
              <w:t>3</w:t>
            </w:r>
          </w:p>
        </w:tc>
        <w:tc>
          <w:tcPr>
            <w:tcW w:w="2275" w:type="dxa"/>
            <w:vAlign w:val="center"/>
          </w:tcPr>
          <w:p w14:paraId="50246E98"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Further Regulation</w:t>
            </w:r>
          </w:p>
        </w:tc>
        <w:tc>
          <w:tcPr>
            <w:tcW w:w="6570" w:type="dxa"/>
            <w:vAlign w:val="center"/>
          </w:tcPr>
          <w:p w14:paraId="20B3999C"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 xml:space="preserve">This contract shall be subject to the </w:t>
            </w:r>
            <w:r>
              <w:rPr>
                <w:rFonts w:asciiTheme="majorBidi" w:hAnsiTheme="majorBidi" w:cstheme="majorBidi"/>
                <w:color w:val="000000"/>
                <w:sz w:val="22"/>
                <w:szCs w:val="22"/>
              </w:rPr>
              <w:t xml:space="preserve">Futures Market Act, 2016, </w:t>
            </w:r>
            <w:r w:rsidRPr="00747474">
              <w:rPr>
                <w:rFonts w:asciiTheme="majorBidi" w:hAnsiTheme="majorBidi" w:cstheme="majorBidi"/>
                <w:color w:val="000000"/>
                <w:sz w:val="22"/>
                <w:szCs w:val="22"/>
              </w:rPr>
              <w:t>PMEX Rule Book, CMC Regulations (where applicable) and all applicable Federal/Provincial laws.</w:t>
            </w:r>
          </w:p>
        </w:tc>
      </w:tr>
    </w:tbl>
    <w:p w14:paraId="6BFA5D1C" w14:textId="77777777" w:rsidR="001959AB" w:rsidRDefault="001959AB"/>
    <w:sectPr w:rsidR="0019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F1445"/>
    <w:multiLevelType w:val="hybridMultilevel"/>
    <w:tmpl w:val="B7001532"/>
    <w:lvl w:ilvl="0" w:tplc="FC084FE2">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851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AB"/>
    <w:rsid w:val="00077752"/>
    <w:rsid w:val="000944DC"/>
    <w:rsid w:val="00142761"/>
    <w:rsid w:val="001959AB"/>
    <w:rsid w:val="001C5206"/>
    <w:rsid w:val="002A4975"/>
    <w:rsid w:val="004109BA"/>
    <w:rsid w:val="007178FA"/>
    <w:rsid w:val="00A85807"/>
    <w:rsid w:val="00C513B5"/>
    <w:rsid w:val="00F60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1E35"/>
  <w15:chartTrackingRefBased/>
  <w15:docId w15:val="{DADB682E-806F-4FDB-AE51-5C9B2AFE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4926">
      <w:bodyDiv w:val="1"/>
      <w:marLeft w:val="0"/>
      <w:marRight w:val="0"/>
      <w:marTop w:val="0"/>
      <w:marBottom w:val="0"/>
      <w:divBdr>
        <w:top w:val="none" w:sz="0" w:space="0" w:color="auto"/>
        <w:left w:val="none" w:sz="0" w:space="0" w:color="auto"/>
        <w:bottom w:val="none" w:sz="0" w:space="0" w:color="auto"/>
        <w:right w:val="none" w:sz="0" w:space="0" w:color="auto"/>
      </w:divBdr>
    </w:div>
    <w:div w:id="20451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Zubaria Anam</dc:creator>
  <cp:keywords/>
  <dc:description/>
  <cp:lastModifiedBy>Muhammad Irfan</cp:lastModifiedBy>
  <cp:revision>5</cp:revision>
  <dcterms:created xsi:type="dcterms:W3CDTF">2022-09-01T07:52:00Z</dcterms:created>
  <dcterms:modified xsi:type="dcterms:W3CDTF">2023-04-30T00:28:00Z</dcterms:modified>
</cp:coreProperties>
</file>